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0C729" w14:textId="12859323" w:rsidR="00764415" w:rsidRDefault="00764415" w:rsidP="00764415">
      <w:r>
        <w:t>The IAEP makes the following proposals to amend the collective bargaining agreement:</w:t>
      </w:r>
    </w:p>
    <w:p w14:paraId="296A69E7" w14:textId="726D81A1" w:rsidR="00764415" w:rsidRDefault="00764415" w:rsidP="00764415"/>
    <w:p w14:paraId="2C4B9100" w14:textId="225B0A04" w:rsidR="00764415" w:rsidRDefault="00764415" w:rsidP="00764415">
      <w:pPr>
        <w:pStyle w:val="ListParagraph"/>
        <w:numPr>
          <w:ilvl w:val="0"/>
          <w:numId w:val="2"/>
        </w:numPr>
        <w:spacing w:after="160" w:line="259" w:lineRule="auto"/>
        <w:jc w:val="both"/>
        <w:rPr>
          <w:rFonts w:eastAsia="Calibri"/>
          <w:b/>
          <w:bCs/>
          <w:i/>
          <w:iCs/>
          <w:u w:val="single"/>
        </w:rPr>
      </w:pPr>
      <w:r w:rsidRPr="00764415">
        <w:rPr>
          <w:rFonts w:eastAsia="Calibri"/>
          <w:b/>
        </w:rPr>
        <w:t>12.3</w:t>
      </w:r>
      <w:r w:rsidRPr="00764415">
        <w:rPr>
          <w:rFonts w:eastAsia="Calibri"/>
        </w:rPr>
        <w:tab/>
        <w:t xml:space="preserve">Any employee who changes job classifications will have their seniority “date of hire” changed to </w:t>
      </w:r>
      <w:r w:rsidRPr="00D42A07">
        <w:rPr>
          <w:rFonts w:eastAsia="Calibri"/>
          <w:strike/>
        </w:rPr>
        <w:t>the first day of employment in the new classification.</w:t>
      </w:r>
      <w:r w:rsidRPr="00764415">
        <w:rPr>
          <w:rFonts w:eastAsia="Calibri"/>
        </w:rPr>
        <w:t xml:space="preserve"> </w:t>
      </w:r>
      <w:r w:rsidR="00D42A07" w:rsidRPr="00D42A07">
        <w:rPr>
          <w:rFonts w:eastAsia="Calibri"/>
          <w:b/>
          <w:bCs/>
          <w:i/>
          <w:iCs/>
          <w:u w:val="single"/>
        </w:rPr>
        <w:t>r</w:t>
      </w:r>
      <w:r w:rsidR="00D42A07">
        <w:rPr>
          <w:rFonts w:eastAsia="Calibri"/>
          <w:b/>
          <w:bCs/>
          <w:i/>
          <w:iCs/>
          <w:u w:val="single"/>
        </w:rPr>
        <w:t xml:space="preserve">eflect </w:t>
      </w:r>
      <w:proofErr w:type="gramStart"/>
      <w:r w:rsidR="00D42A07">
        <w:rPr>
          <w:rFonts w:eastAsia="Calibri"/>
          <w:b/>
          <w:bCs/>
          <w:i/>
          <w:iCs/>
          <w:u w:val="single"/>
        </w:rPr>
        <w:t xml:space="preserve">a </w:t>
      </w:r>
      <w:r w:rsidRPr="00764415">
        <w:rPr>
          <w:rFonts w:eastAsia="Calibri"/>
        </w:rPr>
        <w:t xml:space="preserve"> </w:t>
      </w:r>
      <w:r w:rsidR="00D42A07" w:rsidRPr="00D42A07">
        <w:rPr>
          <w:rFonts w:eastAsia="Calibri"/>
          <w:b/>
          <w:bCs/>
          <w:i/>
          <w:iCs/>
          <w:u w:val="single"/>
        </w:rPr>
        <w:t>carryover</w:t>
      </w:r>
      <w:proofErr w:type="gramEnd"/>
      <w:r w:rsidR="00D42A07" w:rsidRPr="00D42A07">
        <w:rPr>
          <w:rFonts w:eastAsia="Calibri"/>
          <w:b/>
          <w:bCs/>
          <w:i/>
          <w:iCs/>
          <w:u w:val="single"/>
        </w:rPr>
        <w:t xml:space="preserve"> of 25% of their seniority in their prior job classification</w:t>
      </w:r>
      <w:r w:rsidR="00D42A07">
        <w:rPr>
          <w:rFonts w:eastAsia="Calibri"/>
          <w:b/>
          <w:bCs/>
          <w:i/>
          <w:iCs/>
          <w:u w:val="single"/>
        </w:rPr>
        <w:t xml:space="preserve"> if the change in classification is </w:t>
      </w:r>
      <w:r w:rsidR="00F93413">
        <w:rPr>
          <w:rFonts w:eastAsia="Calibri"/>
          <w:b/>
          <w:bCs/>
          <w:i/>
          <w:iCs/>
          <w:u w:val="single"/>
        </w:rPr>
        <w:t xml:space="preserve">to </w:t>
      </w:r>
      <w:r w:rsidR="00D42A07">
        <w:rPr>
          <w:rFonts w:eastAsia="Calibri"/>
          <w:b/>
          <w:bCs/>
          <w:i/>
          <w:iCs/>
          <w:u w:val="single"/>
        </w:rPr>
        <w:t xml:space="preserve">a </w:t>
      </w:r>
      <w:r w:rsidR="00F93413">
        <w:rPr>
          <w:rFonts w:eastAsia="Calibri"/>
          <w:b/>
          <w:bCs/>
          <w:i/>
          <w:iCs/>
          <w:u w:val="single"/>
        </w:rPr>
        <w:t>higher pay job classification</w:t>
      </w:r>
      <w:r w:rsidR="00D42A07">
        <w:rPr>
          <w:rFonts w:eastAsia="Calibri"/>
          <w:b/>
          <w:bCs/>
          <w:i/>
          <w:iCs/>
          <w:u w:val="single"/>
        </w:rPr>
        <w:t xml:space="preserve"> (including Paramedic to Dispatcher and/or Dispatcher to Paramedic).  If the change in classification is </w:t>
      </w:r>
      <w:r w:rsidR="00F93413">
        <w:rPr>
          <w:rFonts w:eastAsia="Calibri"/>
          <w:b/>
          <w:bCs/>
          <w:i/>
          <w:iCs/>
          <w:u w:val="single"/>
        </w:rPr>
        <w:t xml:space="preserve">to a lower pay job </w:t>
      </w:r>
      <w:proofErr w:type="gramStart"/>
      <w:r w:rsidR="00F93413">
        <w:rPr>
          <w:rFonts w:eastAsia="Calibri"/>
          <w:b/>
          <w:bCs/>
          <w:i/>
          <w:iCs/>
          <w:u w:val="single"/>
        </w:rPr>
        <w:t xml:space="preserve">classification  </w:t>
      </w:r>
      <w:r w:rsidR="00D42A07">
        <w:rPr>
          <w:rFonts w:eastAsia="Calibri"/>
          <w:b/>
          <w:bCs/>
          <w:i/>
          <w:iCs/>
          <w:u w:val="single"/>
        </w:rPr>
        <w:t>the</w:t>
      </w:r>
      <w:proofErr w:type="gramEnd"/>
      <w:r w:rsidR="00D42A07">
        <w:rPr>
          <w:rFonts w:eastAsia="Calibri"/>
          <w:b/>
          <w:bCs/>
          <w:i/>
          <w:iCs/>
          <w:u w:val="single"/>
        </w:rPr>
        <w:t xml:space="preserve"> employee </w:t>
      </w:r>
      <w:r w:rsidR="00D42A07" w:rsidRPr="00D42A07">
        <w:rPr>
          <w:rFonts w:eastAsia="Calibri"/>
          <w:b/>
          <w:bCs/>
          <w:i/>
          <w:iCs/>
          <w:u w:val="single"/>
        </w:rPr>
        <w:t xml:space="preserve">will </w:t>
      </w:r>
      <w:r w:rsidR="00D42A07">
        <w:rPr>
          <w:rFonts w:eastAsia="Calibri"/>
          <w:b/>
          <w:bCs/>
          <w:i/>
          <w:iCs/>
          <w:u w:val="single"/>
        </w:rPr>
        <w:t>h</w:t>
      </w:r>
      <w:r w:rsidR="00D42A07" w:rsidRPr="00D42A07">
        <w:rPr>
          <w:rFonts w:eastAsia="Calibri"/>
          <w:b/>
          <w:bCs/>
          <w:i/>
          <w:iCs/>
          <w:u w:val="single"/>
        </w:rPr>
        <w:t>ave their seniority “date of hire” changed to</w:t>
      </w:r>
      <w:r w:rsidR="00D42A07">
        <w:rPr>
          <w:rFonts w:eastAsia="Calibri"/>
        </w:rPr>
        <w:t xml:space="preserve"> </w:t>
      </w:r>
      <w:r w:rsidR="00D42A07" w:rsidRPr="00D42A07">
        <w:rPr>
          <w:rFonts w:eastAsia="Calibri"/>
          <w:b/>
          <w:bCs/>
          <w:i/>
          <w:iCs/>
          <w:u w:val="single"/>
        </w:rPr>
        <w:t>r</w:t>
      </w:r>
      <w:r w:rsidR="00D42A07">
        <w:rPr>
          <w:rFonts w:eastAsia="Calibri"/>
          <w:b/>
          <w:bCs/>
          <w:i/>
          <w:iCs/>
          <w:u w:val="single"/>
        </w:rPr>
        <w:t xml:space="preserve">eflect a </w:t>
      </w:r>
      <w:r w:rsidR="00D42A07" w:rsidRPr="00764415">
        <w:rPr>
          <w:rFonts w:eastAsia="Calibri"/>
        </w:rPr>
        <w:t xml:space="preserve"> </w:t>
      </w:r>
      <w:r w:rsidR="00D42A07" w:rsidRPr="00D42A07">
        <w:rPr>
          <w:rFonts w:eastAsia="Calibri"/>
          <w:b/>
          <w:bCs/>
          <w:i/>
          <w:iCs/>
          <w:u w:val="single"/>
        </w:rPr>
        <w:t>carryover of 5</w:t>
      </w:r>
      <w:r w:rsidR="00D42A07">
        <w:rPr>
          <w:rFonts w:eastAsia="Calibri"/>
          <w:b/>
          <w:bCs/>
          <w:i/>
          <w:iCs/>
          <w:u w:val="single"/>
        </w:rPr>
        <w:t>0</w:t>
      </w:r>
      <w:r w:rsidR="00D42A07" w:rsidRPr="00D42A07">
        <w:rPr>
          <w:rFonts w:eastAsia="Calibri"/>
          <w:b/>
          <w:bCs/>
          <w:i/>
          <w:iCs/>
          <w:u w:val="single"/>
        </w:rPr>
        <w:t>% of their seniority in their prior job classification</w:t>
      </w:r>
      <w:r w:rsidR="00D42A07">
        <w:rPr>
          <w:rFonts w:eastAsia="Calibri"/>
          <w:b/>
          <w:bCs/>
          <w:i/>
          <w:iCs/>
          <w:u w:val="single"/>
        </w:rPr>
        <w:t>.</w:t>
      </w:r>
    </w:p>
    <w:p w14:paraId="5F04F2B2" w14:textId="3F9C8517" w:rsidR="00D42A07" w:rsidRDefault="00D42A07" w:rsidP="00D42A07">
      <w:pPr>
        <w:spacing w:after="160" w:line="259" w:lineRule="auto"/>
        <w:jc w:val="both"/>
        <w:rPr>
          <w:rFonts w:eastAsia="Calibri"/>
        </w:rPr>
      </w:pPr>
    </w:p>
    <w:p w14:paraId="72AA8BBC" w14:textId="2140328A" w:rsidR="00D42A07" w:rsidRDefault="00884843" w:rsidP="00D42A07">
      <w:pPr>
        <w:pStyle w:val="ListParagraph"/>
        <w:numPr>
          <w:ilvl w:val="0"/>
          <w:numId w:val="2"/>
        </w:numPr>
        <w:spacing w:after="160" w:line="259" w:lineRule="auto"/>
        <w:jc w:val="both"/>
        <w:rPr>
          <w:rFonts w:eastAsia="Calibri"/>
        </w:rPr>
      </w:pPr>
      <w:r>
        <w:rPr>
          <w:rFonts w:eastAsia="Calibri"/>
        </w:rPr>
        <w:t>15.2</w:t>
      </w:r>
      <w:r>
        <w:rPr>
          <w:rFonts w:eastAsia="Calibri"/>
        </w:rPr>
        <w:tab/>
        <w:t>Amend to reflect accrual rates for PTO at the same level as Company professional employees.</w:t>
      </w:r>
    </w:p>
    <w:p w14:paraId="39DBE742" w14:textId="77777777" w:rsidR="00884843" w:rsidRPr="00884843" w:rsidRDefault="00884843" w:rsidP="00884843">
      <w:pPr>
        <w:pStyle w:val="ListParagraph"/>
        <w:rPr>
          <w:rFonts w:eastAsia="Calibri"/>
        </w:rPr>
      </w:pPr>
    </w:p>
    <w:p w14:paraId="3BD81AD9" w14:textId="74D30922" w:rsidR="00884843" w:rsidRPr="00A431EB" w:rsidRDefault="00050940" w:rsidP="00050940">
      <w:pPr>
        <w:spacing w:after="160" w:line="259" w:lineRule="auto"/>
        <w:ind w:firstLine="360"/>
        <w:rPr>
          <w:rFonts w:eastAsia="Calibri"/>
          <w:b/>
        </w:rPr>
      </w:pPr>
      <w:r w:rsidRPr="00050940">
        <w:rPr>
          <w:rFonts w:eastAsia="Calibri"/>
          <w:bCs/>
        </w:rPr>
        <w:t>3</w:t>
      </w:r>
      <w:r w:rsidR="00884843">
        <w:rPr>
          <w:rFonts w:eastAsia="Calibri"/>
          <w:b/>
        </w:rPr>
        <w:t>.</w:t>
      </w:r>
      <w:r w:rsidR="00884843">
        <w:rPr>
          <w:rFonts w:eastAsia="Calibri"/>
          <w:b/>
        </w:rPr>
        <w:tab/>
      </w:r>
      <w:r w:rsidR="00884843" w:rsidRPr="00050940">
        <w:rPr>
          <w:rFonts w:eastAsia="Calibri"/>
          <w:bCs/>
        </w:rPr>
        <w:t>15.6</w:t>
      </w:r>
      <w:r w:rsidR="00884843" w:rsidRPr="00A431EB">
        <w:rPr>
          <w:rFonts w:eastAsia="Calibri"/>
          <w:b/>
        </w:rPr>
        <w:tab/>
        <w:t>Holidays</w:t>
      </w:r>
    </w:p>
    <w:p w14:paraId="6C8AC2CF" w14:textId="3FC6DEF0" w:rsidR="00884843" w:rsidRPr="00A431EB" w:rsidRDefault="00884843" w:rsidP="00884843">
      <w:pPr>
        <w:spacing w:after="160" w:line="259" w:lineRule="auto"/>
        <w:ind w:left="1440"/>
        <w:rPr>
          <w:rFonts w:eastAsia="Calibri"/>
        </w:rPr>
      </w:pPr>
      <w:r w:rsidRPr="00AC6BB9">
        <w:rPr>
          <w:rFonts w:eastAsia="Calibri"/>
          <w:b/>
        </w:rPr>
        <w:t>15.6.1</w:t>
      </w:r>
      <w:r w:rsidRPr="00A431EB">
        <w:rPr>
          <w:rFonts w:eastAsia="Calibri"/>
        </w:rPr>
        <w:tab/>
        <w:t xml:space="preserve">Designated holidays by the employer are New Year’s Day, Memorial Day, </w:t>
      </w:r>
      <w:r w:rsidRPr="00AC6BB9">
        <w:rPr>
          <w:rFonts w:eastAsia="Calibri"/>
        </w:rPr>
        <w:t>4</w:t>
      </w:r>
      <w:r w:rsidRPr="00AC6BB9">
        <w:rPr>
          <w:rFonts w:eastAsia="Calibri"/>
          <w:vertAlign w:val="superscript"/>
        </w:rPr>
        <w:t>th</w:t>
      </w:r>
      <w:r w:rsidRPr="00AC6BB9">
        <w:rPr>
          <w:rFonts w:eastAsia="Calibri"/>
        </w:rPr>
        <w:t xml:space="preserve"> of July</w:t>
      </w:r>
      <w:r w:rsidRPr="00A21521">
        <w:rPr>
          <w:rFonts w:eastAsia="Calibri"/>
        </w:rPr>
        <w:t>, Labor Day, Thanksgiving Day and Christmas Day</w:t>
      </w:r>
      <w:r>
        <w:rPr>
          <w:rFonts w:eastAsia="Calibri"/>
        </w:rPr>
        <w:t xml:space="preserve"> </w:t>
      </w:r>
      <w:r>
        <w:rPr>
          <w:rFonts w:eastAsia="Calibri"/>
          <w:b/>
          <w:bCs/>
          <w:i/>
          <w:iCs/>
          <w:u w:val="single"/>
        </w:rPr>
        <w:t xml:space="preserve">Veteran’s Day, MLK Day, Juneteenth, Easter and Employee’s </w:t>
      </w:r>
      <w:proofErr w:type="gramStart"/>
      <w:r>
        <w:rPr>
          <w:rFonts w:eastAsia="Calibri"/>
          <w:b/>
          <w:bCs/>
          <w:i/>
          <w:iCs/>
          <w:u w:val="single"/>
        </w:rPr>
        <w:t>Birthday.</w:t>
      </w:r>
      <w:r w:rsidRPr="00A21521">
        <w:rPr>
          <w:rFonts w:eastAsia="Calibri"/>
        </w:rPr>
        <w:t>.</w:t>
      </w:r>
      <w:proofErr w:type="gramEnd"/>
      <w:r w:rsidRPr="00A431EB">
        <w:rPr>
          <w:rFonts w:eastAsia="Calibri"/>
        </w:rPr>
        <w:t xml:space="preserve">  </w:t>
      </w:r>
    </w:p>
    <w:p w14:paraId="22606015" w14:textId="77777777" w:rsidR="00884843" w:rsidRPr="00A431EB" w:rsidRDefault="00884843" w:rsidP="00884843">
      <w:pPr>
        <w:numPr>
          <w:ilvl w:val="0"/>
          <w:numId w:val="4"/>
        </w:numPr>
        <w:spacing w:after="160" w:line="259" w:lineRule="auto"/>
        <w:rPr>
          <w:rFonts w:eastAsia="Calibri"/>
        </w:rPr>
      </w:pPr>
      <w:r w:rsidRPr="00A431EB">
        <w:rPr>
          <w:rFonts w:eastAsia="Calibri"/>
        </w:rPr>
        <w:t>Benefit eligible employees may elect to use</w:t>
      </w:r>
      <w:r w:rsidRPr="00A431EB">
        <w:rPr>
          <w:rFonts w:eastAsia="Calibri"/>
          <w:b/>
        </w:rPr>
        <w:t xml:space="preserve"> </w:t>
      </w:r>
      <w:r w:rsidRPr="00A431EB">
        <w:rPr>
          <w:rFonts w:eastAsia="Calibri"/>
        </w:rPr>
        <w:t>PTO up to the total hours worked on a holiday.</w:t>
      </w:r>
    </w:p>
    <w:p w14:paraId="6652DA39" w14:textId="77777777" w:rsidR="00884843" w:rsidRPr="00A431EB" w:rsidRDefault="00884843" w:rsidP="00884843">
      <w:pPr>
        <w:numPr>
          <w:ilvl w:val="0"/>
          <w:numId w:val="4"/>
        </w:numPr>
        <w:spacing w:after="160" w:line="259" w:lineRule="auto"/>
        <w:rPr>
          <w:rFonts w:eastAsia="Calibri"/>
        </w:rPr>
      </w:pPr>
      <w:r w:rsidRPr="00A431EB">
        <w:rPr>
          <w:rFonts w:eastAsia="Calibri"/>
        </w:rPr>
        <w:t xml:space="preserve">Employees not scheduled to work the holiday may elect to use up to eight (8) hours of PTO on the holiday. </w:t>
      </w:r>
    </w:p>
    <w:p w14:paraId="138A9952" w14:textId="4B637FDE" w:rsidR="00884843" w:rsidRDefault="00884843" w:rsidP="00884843">
      <w:pPr>
        <w:numPr>
          <w:ilvl w:val="0"/>
          <w:numId w:val="4"/>
        </w:numPr>
        <w:spacing w:after="160" w:line="259" w:lineRule="auto"/>
        <w:jc w:val="both"/>
        <w:rPr>
          <w:rFonts w:eastAsia="Calibri"/>
        </w:rPr>
      </w:pPr>
      <w:r w:rsidRPr="00A431EB">
        <w:rPr>
          <w:rFonts w:eastAsia="Calibri"/>
        </w:rPr>
        <w:t>Non benefit eligible employees will be paid time and one half for all hours worked on a holiday shift.</w:t>
      </w:r>
    </w:p>
    <w:p w14:paraId="432D556B" w14:textId="62DDA1AE" w:rsidR="00884843" w:rsidRPr="00884843" w:rsidRDefault="00884843" w:rsidP="00884843">
      <w:pPr>
        <w:numPr>
          <w:ilvl w:val="0"/>
          <w:numId w:val="4"/>
        </w:numPr>
        <w:spacing w:after="160" w:line="259" w:lineRule="auto"/>
        <w:jc w:val="both"/>
        <w:rPr>
          <w:rFonts w:eastAsia="Calibri"/>
          <w:u w:val="single"/>
        </w:rPr>
      </w:pPr>
      <w:r w:rsidRPr="00884843">
        <w:rPr>
          <w:rFonts w:eastAsia="Calibri"/>
          <w:b/>
          <w:bCs/>
          <w:i/>
          <w:iCs/>
          <w:u w:val="single"/>
        </w:rPr>
        <w:t>Veterans who work on Veteran’s Day shall receive an additional $2.00 per hour for each hour worked.</w:t>
      </w:r>
    </w:p>
    <w:p w14:paraId="6B907CC8" w14:textId="051870B7" w:rsidR="00884843" w:rsidRPr="00884843" w:rsidRDefault="00884843" w:rsidP="00884843">
      <w:pPr>
        <w:pStyle w:val="ListParagraph"/>
        <w:spacing w:after="160" w:line="259" w:lineRule="auto"/>
        <w:jc w:val="both"/>
        <w:rPr>
          <w:rFonts w:eastAsia="Calibri"/>
          <w:u w:val="single"/>
        </w:rPr>
      </w:pPr>
    </w:p>
    <w:p w14:paraId="73D0416C" w14:textId="5A9FF69B" w:rsidR="00050940" w:rsidRPr="00863BE3" w:rsidRDefault="00050940" w:rsidP="00050940">
      <w:pPr>
        <w:tabs>
          <w:tab w:val="left" w:pos="720"/>
        </w:tabs>
        <w:ind w:left="1440" w:hanging="1440"/>
        <w:rPr>
          <w:b/>
          <w:bCs/>
          <w:i/>
          <w:iCs/>
          <w:u w:val="single"/>
        </w:rPr>
      </w:pPr>
      <w:r>
        <w:rPr>
          <w:rFonts w:eastAsia="Calibri"/>
        </w:rPr>
        <w:tab/>
      </w:r>
      <w:r w:rsidRPr="00050940">
        <w:rPr>
          <w:rFonts w:eastAsia="Calibri"/>
        </w:rPr>
        <w:t>4.</w:t>
      </w:r>
      <w:r>
        <w:rPr>
          <w:rFonts w:eastAsia="Calibri"/>
        </w:rPr>
        <w:tab/>
      </w:r>
      <w:r w:rsidRPr="009115CF">
        <w:rPr>
          <w:b/>
        </w:rPr>
        <w:t>17.12</w:t>
      </w:r>
      <w:r w:rsidRPr="009115CF">
        <w:tab/>
      </w:r>
      <w:r w:rsidRPr="00050940">
        <w:rPr>
          <w:strike/>
        </w:rPr>
        <w:t>Either party may reopen this article by sending a written notice to the other party between January 1, 2016 and January 31, 2016.</w:t>
      </w:r>
      <w:r>
        <w:rPr>
          <w:strike/>
        </w:rPr>
        <w:t xml:space="preserve"> </w:t>
      </w:r>
      <w:r w:rsidR="00863BE3">
        <w:rPr>
          <w:b/>
          <w:bCs/>
          <w:i/>
          <w:iCs/>
          <w:u w:val="single"/>
        </w:rPr>
        <w:t>All bargaining unit employees shall be eligible for the following benefits:</w:t>
      </w:r>
    </w:p>
    <w:p w14:paraId="176AB98F" w14:textId="77777777" w:rsidR="00050940" w:rsidRDefault="00050940" w:rsidP="00050940"/>
    <w:p w14:paraId="59B68FD0" w14:textId="77777777" w:rsidR="00863BE3" w:rsidRPr="00863BE3" w:rsidRDefault="00863BE3" w:rsidP="00863BE3">
      <w:pPr>
        <w:ind w:left="720" w:firstLine="720"/>
        <w:rPr>
          <w:b/>
          <w:bCs/>
          <w:i/>
          <w:iCs/>
          <w:u w:val="single"/>
        </w:rPr>
      </w:pPr>
      <w:r w:rsidRPr="00863BE3">
        <w:rPr>
          <w:b/>
          <w:bCs/>
          <w:i/>
          <w:iCs/>
          <w:u w:val="single"/>
        </w:rPr>
        <w:t>Tuition Reimbursement</w:t>
      </w:r>
    </w:p>
    <w:p w14:paraId="127B5B8E" w14:textId="77777777" w:rsidR="00863BE3" w:rsidRPr="00863BE3" w:rsidRDefault="00863BE3" w:rsidP="00863BE3">
      <w:pPr>
        <w:ind w:left="1440"/>
        <w:rPr>
          <w:b/>
          <w:bCs/>
          <w:i/>
          <w:iCs/>
          <w:u w:val="single"/>
        </w:rPr>
      </w:pPr>
    </w:p>
    <w:p w14:paraId="4BB81746" w14:textId="58149EBE" w:rsidR="00863BE3" w:rsidRPr="00863BE3" w:rsidRDefault="00863BE3" w:rsidP="00863BE3">
      <w:pPr>
        <w:ind w:left="1440"/>
        <w:rPr>
          <w:b/>
          <w:bCs/>
          <w:i/>
          <w:iCs/>
          <w:u w:val="single"/>
        </w:rPr>
      </w:pPr>
      <w:r w:rsidRPr="00863BE3">
        <w:rPr>
          <w:b/>
          <w:bCs/>
          <w:i/>
          <w:iCs/>
          <w:u w:val="single"/>
        </w:rPr>
        <w:t xml:space="preserve">Allina Health shall pay the employee minimum reimbursement in the amount of one hundred percent (100%) of tuition and required fees and books up to </w:t>
      </w:r>
      <w:r w:rsidR="00F93413">
        <w:rPr>
          <w:b/>
          <w:bCs/>
          <w:i/>
          <w:iCs/>
          <w:u w:val="single"/>
        </w:rPr>
        <w:t xml:space="preserve">three </w:t>
      </w:r>
      <w:r w:rsidRPr="00863BE3">
        <w:rPr>
          <w:b/>
          <w:bCs/>
          <w:i/>
          <w:iCs/>
          <w:u w:val="single"/>
        </w:rPr>
        <w:t>thousand six hundred dollars ($</w:t>
      </w:r>
      <w:r w:rsidR="00F93413">
        <w:rPr>
          <w:b/>
          <w:bCs/>
          <w:i/>
          <w:iCs/>
          <w:u w:val="single"/>
        </w:rPr>
        <w:t>3</w:t>
      </w:r>
      <w:r w:rsidRPr="00863BE3">
        <w:rPr>
          <w:b/>
          <w:bCs/>
          <w:i/>
          <w:iCs/>
          <w:u w:val="single"/>
        </w:rPr>
        <w:t>,600.00) per year for educational course work at an accredited institution, in accordance with Allina policy for tuition reimbursement.</w:t>
      </w:r>
    </w:p>
    <w:p w14:paraId="7061A3CE" w14:textId="77777777" w:rsidR="00863BE3" w:rsidRPr="00863BE3" w:rsidRDefault="00863BE3" w:rsidP="00863BE3">
      <w:pPr>
        <w:rPr>
          <w:b/>
          <w:bCs/>
          <w:i/>
          <w:iCs/>
          <w:u w:val="single"/>
        </w:rPr>
      </w:pPr>
    </w:p>
    <w:p w14:paraId="6CD60BB2" w14:textId="31120E91" w:rsidR="00863BE3" w:rsidRPr="00863BE3" w:rsidRDefault="00863BE3" w:rsidP="00863BE3">
      <w:pPr>
        <w:ind w:left="720" w:firstLine="720"/>
        <w:rPr>
          <w:b/>
          <w:bCs/>
          <w:i/>
          <w:iCs/>
          <w:szCs w:val="28"/>
          <w:u w:val="single"/>
        </w:rPr>
      </w:pPr>
      <w:r w:rsidRPr="00863BE3">
        <w:rPr>
          <w:b/>
          <w:bCs/>
          <w:i/>
          <w:iCs/>
          <w:u w:val="single"/>
        </w:rPr>
        <w:t>Workshops, Courses, and Other Educational Program:</w:t>
      </w:r>
    </w:p>
    <w:p w14:paraId="6A8BA139" w14:textId="09FA6C92" w:rsidR="00863BE3" w:rsidRDefault="00863BE3" w:rsidP="00863BE3">
      <w:pPr>
        <w:ind w:left="1440"/>
        <w:rPr>
          <w:b/>
          <w:bCs/>
          <w:i/>
          <w:iCs/>
          <w:szCs w:val="28"/>
          <w:u w:val="single"/>
        </w:rPr>
      </w:pPr>
      <w:r w:rsidRPr="00863BE3">
        <w:rPr>
          <w:b/>
          <w:bCs/>
          <w:i/>
          <w:iCs/>
          <w:szCs w:val="28"/>
          <w:u w:val="single"/>
        </w:rPr>
        <w:lastRenderedPageBreak/>
        <w:t>The employee  may use up to six hundred dollars ($600.00) per year, paid at one-hundred percent (100%), of the amount provided in this Section for workshops, courses, and other</w:t>
      </w:r>
      <w:r w:rsidRPr="00863BE3">
        <w:rPr>
          <w:b/>
          <w:bCs/>
          <w:i/>
          <w:iCs/>
          <w:u w:val="single"/>
        </w:rPr>
        <w:fldChar w:fldCharType="begin"/>
      </w:r>
      <w:r w:rsidRPr="00863BE3">
        <w:rPr>
          <w:b/>
          <w:bCs/>
          <w:i/>
          <w:iCs/>
          <w:u w:val="single"/>
        </w:rPr>
        <w:instrText xml:space="preserve"> XE "Workshops, Courses, and Other Educational Programs: " </w:instrText>
      </w:r>
      <w:r w:rsidRPr="00863BE3">
        <w:rPr>
          <w:b/>
          <w:bCs/>
          <w:i/>
          <w:iCs/>
          <w:u w:val="single"/>
        </w:rPr>
        <w:fldChar w:fldCharType="end"/>
      </w:r>
      <w:r w:rsidRPr="00863BE3">
        <w:rPr>
          <w:b/>
          <w:bCs/>
          <w:i/>
          <w:iCs/>
          <w:szCs w:val="28"/>
          <w:u w:val="single"/>
        </w:rPr>
        <w:t xml:space="preserve"> types of educational programs.</w:t>
      </w:r>
    </w:p>
    <w:p w14:paraId="6723CF17" w14:textId="63CC8C15" w:rsidR="00863BE3" w:rsidRDefault="00863BE3" w:rsidP="00863BE3">
      <w:pPr>
        <w:rPr>
          <w:b/>
          <w:bCs/>
          <w:i/>
          <w:iCs/>
          <w:szCs w:val="28"/>
          <w:u w:val="single"/>
        </w:rPr>
      </w:pPr>
    </w:p>
    <w:p w14:paraId="5C2BE41E" w14:textId="77777777" w:rsidR="00863BE3" w:rsidRDefault="00863BE3" w:rsidP="00863BE3">
      <w:pPr>
        <w:ind w:firstLine="720"/>
        <w:rPr>
          <w:szCs w:val="28"/>
        </w:rPr>
      </w:pPr>
    </w:p>
    <w:p w14:paraId="3926DC98" w14:textId="0ECE3E95" w:rsidR="00863BE3" w:rsidRPr="00863BE3" w:rsidRDefault="00863BE3" w:rsidP="00863BE3">
      <w:pPr>
        <w:ind w:firstLine="720"/>
        <w:rPr>
          <w:b/>
          <w:bCs/>
          <w:i/>
          <w:iCs/>
          <w:szCs w:val="28"/>
          <w:u w:val="single"/>
        </w:rPr>
      </w:pPr>
      <w:r>
        <w:rPr>
          <w:szCs w:val="28"/>
        </w:rPr>
        <w:t>5.</w:t>
      </w:r>
      <w:r>
        <w:rPr>
          <w:szCs w:val="28"/>
        </w:rPr>
        <w:tab/>
      </w:r>
      <w:r>
        <w:rPr>
          <w:b/>
          <w:bCs/>
          <w:i/>
          <w:iCs/>
          <w:szCs w:val="28"/>
          <w:u w:val="single"/>
        </w:rPr>
        <w:t>17.13   NCCR shall be provided at no cost for all bargaining unit employees.</w:t>
      </w:r>
    </w:p>
    <w:p w14:paraId="6511A84C" w14:textId="7172593A" w:rsidR="00863BE3" w:rsidRDefault="00863BE3" w:rsidP="00863BE3">
      <w:pPr>
        <w:ind w:firstLine="720"/>
        <w:rPr>
          <w:szCs w:val="28"/>
        </w:rPr>
      </w:pPr>
    </w:p>
    <w:p w14:paraId="09B507C3" w14:textId="77777777" w:rsidR="00863BE3" w:rsidRPr="00863BE3" w:rsidRDefault="00863BE3" w:rsidP="00863BE3">
      <w:pPr>
        <w:rPr>
          <w:b/>
          <w:bCs/>
          <w:i/>
          <w:iCs/>
          <w:u w:val="single"/>
        </w:rPr>
      </w:pPr>
    </w:p>
    <w:p w14:paraId="0F95C83D" w14:textId="4DD8AC43" w:rsidR="00792ABE" w:rsidRPr="001009FA" w:rsidRDefault="00792ABE" w:rsidP="00792ABE">
      <w:pPr>
        <w:pBdr>
          <w:top w:val="none" w:sz="0" w:space="0" w:color="000000"/>
          <w:left w:val="none" w:sz="0" w:space="0" w:color="000000"/>
          <w:bottom w:val="none" w:sz="0" w:space="0" w:color="000000"/>
          <w:right w:val="none" w:sz="0" w:space="0" w:color="000000"/>
        </w:pBdr>
        <w:shd w:val="clear" w:color="auto" w:fill="FFFFFF"/>
        <w:jc w:val="both"/>
        <w:rPr>
          <w:rFonts w:ascii="Verdana" w:hAnsi="Verdana"/>
          <w:b/>
          <w:bCs/>
          <w:i/>
          <w:iCs/>
          <w:sz w:val="17"/>
          <w:u w:val="single"/>
        </w:rPr>
      </w:pPr>
      <w:r>
        <w:rPr>
          <w:rFonts w:eastAsia="Calibri"/>
        </w:rPr>
        <w:t>6.</w:t>
      </w:r>
      <w:r>
        <w:rPr>
          <w:rFonts w:eastAsia="Calibri"/>
        </w:rPr>
        <w:tab/>
      </w:r>
      <w:r w:rsidRPr="001009FA">
        <w:rPr>
          <w:b/>
          <w:bCs/>
          <w:i/>
          <w:iCs/>
          <w:u w:val="single"/>
        </w:rPr>
        <w:t>31.4.</w:t>
      </w:r>
      <w:r w:rsidR="001009FA" w:rsidRPr="001009FA">
        <w:rPr>
          <w:b/>
          <w:bCs/>
          <w:i/>
          <w:iCs/>
          <w:u w:val="single"/>
        </w:rPr>
        <w:t>2</w:t>
      </w:r>
      <w:r w:rsidRPr="001009FA">
        <w:rPr>
          <w:b/>
          <w:bCs/>
          <w:i/>
          <w:iCs/>
          <w:u w:val="single"/>
        </w:rPr>
        <w:tab/>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972"/>
      </w:tblGrid>
      <w:tr w:rsidR="00792ABE" w:rsidRPr="001009FA" w14:paraId="5E29BFC7" w14:textId="77777777" w:rsidTr="001C3B35">
        <w:tc>
          <w:tcPr>
            <w:tcW w:w="9972" w:type="dxa"/>
            <w:shd w:val="clear" w:color="auto" w:fill="auto"/>
            <w:vAlign w:val="center"/>
          </w:tcPr>
          <w:p w14:paraId="002F984B" w14:textId="77777777" w:rsidR="00792ABE" w:rsidRPr="001009FA" w:rsidRDefault="00792ABE" w:rsidP="001C3B35">
            <w:pPr>
              <w:pStyle w:val="TableContents"/>
              <w:spacing w:after="283"/>
              <w:rPr>
                <w:rFonts w:ascii="Verdana" w:hAnsi="Verdana"/>
                <w:b/>
                <w:bCs/>
                <w:i/>
                <w:iCs/>
                <w:color w:val="000000"/>
                <w:sz w:val="17"/>
                <w:u w:val="single"/>
              </w:rPr>
            </w:pPr>
            <w:r w:rsidRPr="001009FA">
              <w:rPr>
                <w:rFonts w:ascii="Verdana" w:hAnsi="Verdana"/>
                <w:b/>
                <w:bCs/>
                <w:i/>
                <w:iCs/>
                <w:sz w:val="17"/>
                <w:u w:val="single"/>
              </w:rPr>
              <w:br/>
              <w:t>Allina Health will contribute 50 cents to your retirement account for each dollar you contribute, up to 2% of your eligible annual pay (up to IRS limits).  Your matching contributions are credited to your account at the same time as your employee contributions.</w:t>
            </w:r>
            <w:r w:rsidRPr="001009FA">
              <w:rPr>
                <w:rFonts w:ascii="Verdana" w:hAnsi="Verdana"/>
                <w:b/>
                <w:bCs/>
                <w:i/>
                <w:iCs/>
                <w:sz w:val="17"/>
                <w:u w:val="single"/>
              </w:rPr>
              <w:br/>
            </w:r>
            <w:r w:rsidRPr="001009FA">
              <w:rPr>
                <w:rFonts w:ascii="Verdana" w:hAnsi="Verdana"/>
                <w:b/>
                <w:bCs/>
                <w:i/>
                <w:iCs/>
                <w:sz w:val="17"/>
                <w:u w:val="single"/>
              </w:rPr>
              <w:br/>
              <w:t>Allina Health will make annual contributions on your behalf.  Your annual Allina Health contributions will be credited to your account at the end of the year.</w:t>
            </w:r>
            <w:r w:rsidRPr="001009FA">
              <w:rPr>
                <w:rFonts w:ascii="Verdana" w:hAnsi="Verdana"/>
                <w:b/>
                <w:bCs/>
                <w:i/>
                <w:iCs/>
                <w:sz w:val="17"/>
                <w:u w:val="single"/>
              </w:rPr>
              <w:br/>
            </w:r>
            <w:r w:rsidRPr="001009FA">
              <w:rPr>
                <w:rFonts w:ascii="Verdana" w:hAnsi="Verdana"/>
                <w:b/>
                <w:bCs/>
                <w:i/>
                <w:iCs/>
                <w:sz w:val="17"/>
                <w:u w:val="single"/>
              </w:rPr>
              <w:br/>
              <w:t>The amount of annual Allina Health contributions you receive is based on your total years of vesting service as of December 31 each year and is calculated as a percentage of your annual pay, as follows:</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3875"/>
              <w:gridCol w:w="6040"/>
            </w:tblGrid>
            <w:tr w:rsidR="00792ABE" w:rsidRPr="001009FA" w14:paraId="073E32E2" w14:textId="77777777" w:rsidTr="001C3B35">
              <w:tc>
                <w:tcPr>
                  <w:tcW w:w="3875" w:type="dxa"/>
                  <w:tcBorders>
                    <w:top w:val="single" w:sz="6" w:space="0" w:color="E3EEF2"/>
                    <w:left w:val="single" w:sz="6" w:space="0" w:color="E3EEF2"/>
                    <w:bottom w:val="single" w:sz="6" w:space="0" w:color="9EC3DE"/>
                    <w:right w:val="single" w:sz="6" w:space="0" w:color="9EC3DE"/>
                  </w:tcBorders>
                  <w:shd w:val="clear" w:color="auto" w:fill="B5D2E7"/>
                </w:tcPr>
                <w:p w14:paraId="3CF21757" w14:textId="77777777" w:rsidR="00792ABE" w:rsidRPr="001009FA" w:rsidRDefault="00792ABE" w:rsidP="001C3B35">
                  <w:pPr>
                    <w:pStyle w:val="TableHeading"/>
                    <w:jc w:val="left"/>
                    <w:rPr>
                      <w:rFonts w:ascii="Verdana" w:hAnsi="Verdana"/>
                      <w:i/>
                      <w:iCs/>
                      <w:color w:val="000000"/>
                      <w:sz w:val="17"/>
                      <w:u w:val="single"/>
                    </w:rPr>
                  </w:pPr>
                  <w:r w:rsidRPr="001009FA">
                    <w:rPr>
                      <w:rFonts w:ascii="Verdana" w:hAnsi="Verdana"/>
                      <w:i/>
                      <w:iCs/>
                      <w:color w:val="000000"/>
                      <w:sz w:val="17"/>
                      <w:u w:val="single"/>
                    </w:rPr>
                    <w:t>Your Years of Vesting Service</w:t>
                  </w:r>
                </w:p>
              </w:tc>
              <w:tc>
                <w:tcPr>
                  <w:tcW w:w="6040" w:type="dxa"/>
                  <w:tcBorders>
                    <w:top w:val="single" w:sz="6" w:space="0" w:color="E3EEF2"/>
                    <w:left w:val="single" w:sz="6" w:space="0" w:color="E3EEF2"/>
                    <w:bottom w:val="single" w:sz="6" w:space="0" w:color="9EC3DE"/>
                    <w:right w:val="single" w:sz="6" w:space="0" w:color="9EC3DE"/>
                  </w:tcBorders>
                  <w:shd w:val="clear" w:color="auto" w:fill="B5D2E7"/>
                </w:tcPr>
                <w:p w14:paraId="2E7630E3" w14:textId="77777777" w:rsidR="00792ABE" w:rsidRPr="001009FA" w:rsidRDefault="00792ABE" w:rsidP="001C3B35">
                  <w:pPr>
                    <w:pStyle w:val="TableHeading"/>
                    <w:jc w:val="left"/>
                    <w:rPr>
                      <w:i/>
                      <w:iCs/>
                      <w:u w:val="single"/>
                    </w:rPr>
                  </w:pPr>
                  <w:r w:rsidRPr="001009FA">
                    <w:rPr>
                      <w:rFonts w:ascii="Verdana" w:hAnsi="Verdana"/>
                      <w:i/>
                      <w:iCs/>
                      <w:color w:val="000000"/>
                      <w:sz w:val="17"/>
                      <w:u w:val="single"/>
                    </w:rPr>
                    <w:t>Annual Contribution (as a percent of your pay)</w:t>
                  </w:r>
                </w:p>
              </w:tc>
            </w:tr>
            <w:tr w:rsidR="00792ABE" w:rsidRPr="001009FA" w14:paraId="22C108FD" w14:textId="77777777" w:rsidTr="001C3B35">
              <w:tc>
                <w:tcPr>
                  <w:tcW w:w="3875" w:type="dxa"/>
                  <w:tcBorders>
                    <w:top w:val="single" w:sz="6" w:space="0" w:color="FFFFFF"/>
                    <w:left w:val="single" w:sz="6" w:space="0" w:color="FFFFFF"/>
                    <w:bottom w:val="single" w:sz="6" w:space="0" w:color="C6C9DD"/>
                    <w:right w:val="single" w:sz="6" w:space="0" w:color="C6C9DD"/>
                  </w:tcBorders>
                  <w:shd w:val="clear" w:color="auto" w:fill="F1F3FF"/>
                </w:tcPr>
                <w:p w14:paraId="7832C757" w14:textId="77777777" w:rsidR="00792ABE" w:rsidRPr="001009FA" w:rsidRDefault="00792ABE" w:rsidP="001C3B35">
                  <w:pPr>
                    <w:pStyle w:val="TableContents"/>
                    <w:rPr>
                      <w:rFonts w:ascii="Verdana" w:hAnsi="Verdana"/>
                      <w:b/>
                      <w:bCs/>
                      <w:i/>
                      <w:iCs/>
                      <w:color w:val="000000"/>
                      <w:sz w:val="17"/>
                      <w:u w:val="single"/>
                    </w:rPr>
                  </w:pPr>
                  <w:r w:rsidRPr="001009FA">
                    <w:rPr>
                      <w:rFonts w:ascii="Verdana" w:hAnsi="Verdana"/>
                      <w:b/>
                      <w:bCs/>
                      <w:i/>
                      <w:iCs/>
                      <w:color w:val="000000"/>
                      <w:sz w:val="17"/>
                      <w:u w:val="single"/>
                    </w:rPr>
                    <w:t>0 - 5 </w:t>
                  </w:r>
                </w:p>
              </w:tc>
              <w:tc>
                <w:tcPr>
                  <w:tcW w:w="6040" w:type="dxa"/>
                  <w:tcBorders>
                    <w:top w:val="single" w:sz="6" w:space="0" w:color="FFFFFF"/>
                    <w:left w:val="single" w:sz="6" w:space="0" w:color="FFFFFF"/>
                    <w:bottom w:val="single" w:sz="6" w:space="0" w:color="C6C9DD"/>
                    <w:right w:val="single" w:sz="6" w:space="0" w:color="C6C9DD"/>
                  </w:tcBorders>
                  <w:shd w:val="clear" w:color="auto" w:fill="F1F3FF"/>
                </w:tcPr>
                <w:p w14:paraId="4F163A22" w14:textId="77777777" w:rsidR="00792ABE" w:rsidRPr="001009FA" w:rsidRDefault="00792ABE" w:rsidP="001C3B35">
                  <w:pPr>
                    <w:pStyle w:val="TableContents"/>
                    <w:rPr>
                      <w:b/>
                      <w:bCs/>
                      <w:i/>
                      <w:iCs/>
                      <w:u w:val="single"/>
                    </w:rPr>
                  </w:pPr>
                  <w:r w:rsidRPr="001009FA">
                    <w:rPr>
                      <w:rFonts w:ascii="Verdana" w:hAnsi="Verdana"/>
                      <w:b/>
                      <w:bCs/>
                      <w:i/>
                      <w:iCs/>
                      <w:color w:val="000000"/>
                      <w:sz w:val="17"/>
                      <w:u w:val="single"/>
                    </w:rPr>
                    <w:t>3.00% </w:t>
                  </w:r>
                </w:p>
              </w:tc>
            </w:tr>
            <w:tr w:rsidR="00792ABE" w:rsidRPr="001009FA" w14:paraId="62AFA588" w14:textId="77777777" w:rsidTr="001C3B35">
              <w:tc>
                <w:tcPr>
                  <w:tcW w:w="3875" w:type="dxa"/>
                  <w:tcBorders>
                    <w:top w:val="single" w:sz="6" w:space="0" w:color="FFFFFF"/>
                    <w:left w:val="single" w:sz="6" w:space="0" w:color="FFFFFF"/>
                    <w:bottom w:val="single" w:sz="6" w:space="0" w:color="C6C9DD"/>
                    <w:right w:val="single" w:sz="6" w:space="0" w:color="C6C9DD"/>
                  </w:tcBorders>
                  <w:shd w:val="clear" w:color="auto" w:fill="F1F3FF"/>
                </w:tcPr>
                <w:p w14:paraId="62829532" w14:textId="77777777" w:rsidR="00792ABE" w:rsidRPr="001009FA" w:rsidRDefault="00792ABE" w:rsidP="001C3B35">
                  <w:pPr>
                    <w:pStyle w:val="TableContents"/>
                    <w:rPr>
                      <w:rFonts w:ascii="Verdana" w:hAnsi="Verdana"/>
                      <w:b/>
                      <w:bCs/>
                      <w:i/>
                      <w:iCs/>
                      <w:color w:val="000000"/>
                      <w:sz w:val="17"/>
                      <w:u w:val="single"/>
                    </w:rPr>
                  </w:pPr>
                  <w:r w:rsidRPr="001009FA">
                    <w:rPr>
                      <w:rFonts w:ascii="Verdana" w:hAnsi="Verdana"/>
                      <w:b/>
                      <w:bCs/>
                      <w:i/>
                      <w:iCs/>
                      <w:color w:val="000000"/>
                      <w:sz w:val="17"/>
                      <w:u w:val="single"/>
                    </w:rPr>
                    <w:t>6 - 10 </w:t>
                  </w:r>
                </w:p>
              </w:tc>
              <w:tc>
                <w:tcPr>
                  <w:tcW w:w="6040" w:type="dxa"/>
                  <w:tcBorders>
                    <w:top w:val="single" w:sz="6" w:space="0" w:color="FFFFFF"/>
                    <w:left w:val="single" w:sz="6" w:space="0" w:color="FFFFFF"/>
                    <w:bottom w:val="single" w:sz="6" w:space="0" w:color="C6C9DD"/>
                    <w:right w:val="single" w:sz="6" w:space="0" w:color="C6C9DD"/>
                  </w:tcBorders>
                  <w:shd w:val="clear" w:color="auto" w:fill="F1F3FF"/>
                </w:tcPr>
                <w:p w14:paraId="46A27D59" w14:textId="77777777" w:rsidR="00792ABE" w:rsidRPr="001009FA" w:rsidRDefault="00792ABE" w:rsidP="001C3B35">
                  <w:pPr>
                    <w:pStyle w:val="TableContents"/>
                    <w:rPr>
                      <w:b/>
                      <w:bCs/>
                      <w:i/>
                      <w:iCs/>
                      <w:u w:val="single"/>
                    </w:rPr>
                  </w:pPr>
                  <w:r w:rsidRPr="001009FA">
                    <w:rPr>
                      <w:rFonts w:ascii="Verdana" w:hAnsi="Verdana"/>
                      <w:b/>
                      <w:bCs/>
                      <w:i/>
                      <w:iCs/>
                      <w:color w:val="000000"/>
                      <w:sz w:val="17"/>
                      <w:u w:val="single"/>
                    </w:rPr>
                    <w:t>3.50% </w:t>
                  </w:r>
                </w:p>
              </w:tc>
            </w:tr>
            <w:tr w:rsidR="00792ABE" w:rsidRPr="001009FA" w14:paraId="62B94AEA" w14:textId="77777777" w:rsidTr="001C3B35">
              <w:tc>
                <w:tcPr>
                  <w:tcW w:w="3875" w:type="dxa"/>
                  <w:tcBorders>
                    <w:top w:val="single" w:sz="6" w:space="0" w:color="FFFFFF"/>
                    <w:left w:val="single" w:sz="6" w:space="0" w:color="FFFFFF"/>
                    <w:bottom w:val="single" w:sz="6" w:space="0" w:color="C6C9DD"/>
                    <w:right w:val="single" w:sz="6" w:space="0" w:color="C6C9DD"/>
                  </w:tcBorders>
                  <w:shd w:val="clear" w:color="auto" w:fill="F1F3FF"/>
                </w:tcPr>
                <w:p w14:paraId="076E4952" w14:textId="77777777" w:rsidR="00792ABE" w:rsidRPr="001009FA" w:rsidRDefault="00792ABE" w:rsidP="001C3B35">
                  <w:pPr>
                    <w:pStyle w:val="TableContents"/>
                    <w:rPr>
                      <w:rFonts w:ascii="Verdana" w:hAnsi="Verdana"/>
                      <w:b/>
                      <w:bCs/>
                      <w:i/>
                      <w:iCs/>
                      <w:color w:val="000000"/>
                      <w:sz w:val="17"/>
                      <w:u w:val="single"/>
                    </w:rPr>
                  </w:pPr>
                  <w:r w:rsidRPr="001009FA">
                    <w:rPr>
                      <w:rFonts w:ascii="Verdana" w:hAnsi="Verdana"/>
                      <w:b/>
                      <w:bCs/>
                      <w:i/>
                      <w:iCs/>
                      <w:color w:val="000000"/>
                      <w:sz w:val="17"/>
                      <w:u w:val="single"/>
                    </w:rPr>
                    <w:t>11 - 15 </w:t>
                  </w:r>
                </w:p>
              </w:tc>
              <w:tc>
                <w:tcPr>
                  <w:tcW w:w="6040" w:type="dxa"/>
                  <w:tcBorders>
                    <w:top w:val="single" w:sz="6" w:space="0" w:color="FFFFFF"/>
                    <w:left w:val="single" w:sz="6" w:space="0" w:color="FFFFFF"/>
                    <w:bottom w:val="single" w:sz="6" w:space="0" w:color="C6C9DD"/>
                    <w:right w:val="single" w:sz="6" w:space="0" w:color="C6C9DD"/>
                  </w:tcBorders>
                  <w:shd w:val="clear" w:color="auto" w:fill="F1F3FF"/>
                </w:tcPr>
                <w:p w14:paraId="2CFF8C62" w14:textId="77777777" w:rsidR="00792ABE" w:rsidRPr="001009FA" w:rsidRDefault="00792ABE" w:rsidP="001C3B35">
                  <w:pPr>
                    <w:pStyle w:val="TableContents"/>
                    <w:rPr>
                      <w:b/>
                      <w:bCs/>
                      <w:i/>
                      <w:iCs/>
                      <w:u w:val="single"/>
                    </w:rPr>
                  </w:pPr>
                  <w:r w:rsidRPr="001009FA">
                    <w:rPr>
                      <w:rFonts w:ascii="Verdana" w:hAnsi="Verdana"/>
                      <w:b/>
                      <w:bCs/>
                      <w:i/>
                      <w:iCs/>
                      <w:color w:val="000000"/>
                      <w:sz w:val="17"/>
                      <w:u w:val="single"/>
                    </w:rPr>
                    <w:t>4.00% </w:t>
                  </w:r>
                </w:p>
              </w:tc>
            </w:tr>
            <w:tr w:rsidR="00792ABE" w:rsidRPr="001009FA" w14:paraId="73A8971A" w14:textId="77777777" w:rsidTr="001C3B35">
              <w:tc>
                <w:tcPr>
                  <w:tcW w:w="3875" w:type="dxa"/>
                  <w:tcBorders>
                    <w:top w:val="single" w:sz="6" w:space="0" w:color="FFFFFF"/>
                    <w:left w:val="single" w:sz="6" w:space="0" w:color="FFFFFF"/>
                    <w:bottom w:val="single" w:sz="6" w:space="0" w:color="C6C9DD"/>
                    <w:right w:val="single" w:sz="6" w:space="0" w:color="C6C9DD"/>
                  </w:tcBorders>
                  <w:shd w:val="clear" w:color="auto" w:fill="F1F3FF"/>
                </w:tcPr>
                <w:p w14:paraId="7EE5D184" w14:textId="77777777" w:rsidR="00792ABE" w:rsidRDefault="00792ABE" w:rsidP="001C3B35">
                  <w:pPr>
                    <w:pStyle w:val="TableContents"/>
                    <w:rPr>
                      <w:rFonts w:ascii="Verdana" w:hAnsi="Verdana"/>
                      <w:b/>
                      <w:bCs/>
                      <w:i/>
                      <w:iCs/>
                      <w:color w:val="000000"/>
                      <w:sz w:val="17"/>
                      <w:u w:val="single"/>
                    </w:rPr>
                  </w:pPr>
                  <w:r w:rsidRPr="001009FA">
                    <w:rPr>
                      <w:rFonts w:ascii="Verdana" w:hAnsi="Verdana"/>
                      <w:b/>
                      <w:bCs/>
                      <w:i/>
                      <w:iCs/>
                      <w:color w:val="000000"/>
                      <w:sz w:val="17"/>
                      <w:u w:val="single"/>
                    </w:rPr>
                    <w:t xml:space="preserve">16 </w:t>
                  </w:r>
                  <w:r w:rsidR="006E7084">
                    <w:rPr>
                      <w:rFonts w:ascii="Verdana" w:hAnsi="Verdana"/>
                      <w:b/>
                      <w:bCs/>
                      <w:i/>
                      <w:iCs/>
                      <w:color w:val="000000"/>
                      <w:sz w:val="17"/>
                      <w:u w:val="single"/>
                    </w:rPr>
                    <w:t>- 20</w:t>
                  </w:r>
                  <w:r w:rsidRPr="001009FA">
                    <w:rPr>
                      <w:rFonts w:ascii="Verdana" w:hAnsi="Verdana"/>
                      <w:b/>
                      <w:bCs/>
                      <w:i/>
                      <w:iCs/>
                      <w:color w:val="000000"/>
                      <w:sz w:val="17"/>
                      <w:u w:val="single"/>
                    </w:rPr>
                    <w:t> </w:t>
                  </w:r>
                </w:p>
                <w:p w14:paraId="57F34E66" w14:textId="0142C42E" w:rsidR="006E7084" w:rsidRDefault="006E7084" w:rsidP="001C3B35">
                  <w:pPr>
                    <w:pStyle w:val="TableContents"/>
                    <w:rPr>
                      <w:rFonts w:ascii="Verdana" w:hAnsi="Verdana"/>
                      <w:b/>
                      <w:bCs/>
                      <w:i/>
                      <w:iCs/>
                      <w:color w:val="000000"/>
                      <w:sz w:val="17"/>
                      <w:u w:val="single"/>
                    </w:rPr>
                  </w:pPr>
                  <w:r>
                    <w:rPr>
                      <w:rFonts w:ascii="Verdana" w:hAnsi="Verdana"/>
                      <w:b/>
                      <w:bCs/>
                      <w:i/>
                      <w:iCs/>
                      <w:color w:val="000000"/>
                      <w:sz w:val="17"/>
                      <w:u w:val="single"/>
                    </w:rPr>
                    <w:t>21 – 25</w:t>
                  </w:r>
                </w:p>
                <w:p w14:paraId="797BDF80" w14:textId="06F3CB4A" w:rsidR="006E7084" w:rsidRPr="001009FA" w:rsidRDefault="006E7084" w:rsidP="001C3B35">
                  <w:pPr>
                    <w:pStyle w:val="TableContents"/>
                    <w:rPr>
                      <w:rFonts w:ascii="Verdana" w:hAnsi="Verdana"/>
                      <w:b/>
                      <w:bCs/>
                      <w:i/>
                      <w:iCs/>
                      <w:color w:val="000000"/>
                      <w:sz w:val="17"/>
                      <w:u w:val="single"/>
                    </w:rPr>
                  </w:pPr>
                  <w:r>
                    <w:rPr>
                      <w:rFonts w:ascii="Verdana" w:hAnsi="Verdana"/>
                      <w:b/>
                      <w:bCs/>
                      <w:i/>
                      <w:iCs/>
                      <w:color w:val="000000"/>
                      <w:sz w:val="17"/>
                      <w:u w:val="single"/>
                    </w:rPr>
                    <w:t>26 or more</w:t>
                  </w:r>
                </w:p>
              </w:tc>
              <w:tc>
                <w:tcPr>
                  <w:tcW w:w="6040" w:type="dxa"/>
                  <w:tcBorders>
                    <w:top w:val="single" w:sz="6" w:space="0" w:color="FFFFFF"/>
                    <w:left w:val="single" w:sz="6" w:space="0" w:color="FFFFFF"/>
                    <w:bottom w:val="single" w:sz="6" w:space="0" w:color="C6C9DD"/>
                    <w:right w:val="single" w:sz="6" w:space="0" w:color="C6C9DD"/>
                  </w:tcBorders>
                  <w:shd w:val="clear" w:color="auto" w:fill="F1F3FF"/>
                </w:tcPr>
                <w:p w14:paraId="186BA5C5" w14:textId="77777777" w:rsidR="00792ABE" w:rsidRDefault="00792ABE" w:rsidP="001C3B35">
                  <w:pPr>
                    <w:pStyle w:val="TableContents"/>
                    <w:rPr>
                      <w:rFonts w:ascii="Verdana" w:hAnsi="Verdana"/>
                      <w:b/>
                      <w:bCs/>
                      <w:i/>
                      <w:iCs/>
                      <w:color w:val="000000"/>
                      <w:sz w:val="17"/>
                      <w:u w:val="single"/>
                    </w:rPr>
                  </w:pPr>
                  <w:r w:rsidRPr="001009FA">
                    <w:rPr>
                      <w:rFonts w:ascii="Verdana" w:hAnsi="Verdana"/>
                      <w:b/>
                      <w:bCs/>
                      <w:i/>
                      <w:iCs/>
                      <w:color w:val="000000"/>
                      <w:sz w:val="17"/>
                      <w:u w:val="single"/>
                    </w:rPr>
                    <w:t>4.50% </w:t>
                  </w:r>
                </w:p>
                <w:p w14:paraId="7C705034" w14:textId="77777777" w:rsidR="006E7084" w:rsidRDefault="006E7084" w:rsidP="001C3B35">
                  <w:pPr>
                    <w:pStyle w:val="TableContents"/>
                    <w:rPr>
                      <w:b/>
                      <w:bCs/>
                      <w:i/>
                      <w:iCs/>
                      <w:u w:val="single"/>
                    </w:rPr>
                  </w:pPr>
                  <w:r>
                    <w:rPr>
                      <w:b/>
                      <w:bCs/>
                      <w:i/>
                      <w:iCs/>
                      <w:u w:val="single"/>
                    </w:rPr>
                    <w:t>4.75%</w:t>
                  </w:r>
                </w:p>
                <w:p w14:paraId="203A324E" w14:textId="5A19FCA5" w:rsidR="006E7084" w:rsidRPr="001009FA" w:rsidRDefault="006E7084" w:rsidP="001C3B35">
                  <w:pPr>
                    <w:pStyle w:val="TableContents"/>
                    <w:rPr>
                      <w:b/>
                      <w:bCs/>
                      <w:i/>
                      <w:iCs/>
                      <w:u w:val="single"/>
                    </w:rPr>
                  </w:pPr>
                  <w:r>
                    <w:rPr>
                      <w:b/>
                      <w:bCs/>
                      <w:i/>
                      <w:iCs/>
                      <w:u w:val="single"/>
                    </w:rPr>
                    <w:t>5.0%</w:t>
                  </w:r>
                </w:p>
              </w:tc>
            </w:tr>
          </w:tbl>
          <w:p w14:paraId="25B9A633" w14:textId="31FE2E05" w:rsidR="00792ABE" w:rsidRPr="001009FA" w:rsidRDefault="00792ABE" w:rsidP="001C3B35">
            <w:pPr>
              <w:pStyle w:val="TableContents"/>
              <w:rPr>
                <w:b/>
                <w:bCs/>
                <w:i/>
                <w:iCs/>
                <w:u w:val="single"/>
              </w:rPr>
            </w:pPr>
            <w:r w:rsidRPr="001009FA">
              <w:rPr>
                <w:rFonts w:ascii="Verdana" w:hAnsi="Verdana"/>
                <w:b/>
                <w:bCs/>
                <w:i/>
                <w:iCs/>
                <w:sz w:val="17"/>
                <w:u w:val="single"/>
              </w:rPr>
              <w:br/>
              <w:t>Contributions for the first year are based on eligible compensation paid from plan entry date to year-end.</w:t>
            </w:r>
          </w:p>
        </w:tc>
      </w:tr>
    </w:tbl>
    <w:p w14:paraId="02AF198D" w14:textId="77777777" w:rsidR="00792ABE" w:rsidRPr="001009FA" w:rsidRDefault="00792ABE" w:rsidP="00792ABE">
      <w:pPr>
        <w:rPr>
          <w:b/>
          <w:bCs/>
        </w:rPr>
      </w:pPr>
    </w:p>
    <w:p w14:paraId="36DF9174" w14:textId="51BCEF04" w:rsidR="00884843" w:rsidRPr="006E7084" w:rsidRDefault="006E7084" w:rsidP="006E7084">
      <w:pPr>
        <w:spacing w:after="160" w:line="259" w:lineRule="auto"/>
        <w:ind w:left="1440" w:hanging="720"/>
        <w:jc w:val="both"/>
        <w:rPr>
          <w:rFonts w:eastAsia="Calibri"/>
          <w:b/>
          <w:bCs/>
          <w:i/>
          <w:iCs/>
          <w:u w:val="single"/>
        </w:rPr>
      </w:pPr>
      <w:r>
        <w:rPr>
          <w:rFonts w:eastAsia="Calibri"/>
          <w:b/>
          <w:bCs/>
        </w:rPr>
        <w:t>7.</w:t>
      </w:r>
      <w:r>
        <w:rPr>
          <w:rFonts w:eastAsia="Calibri"/>
          <w:b/>
          <w:bCs/>
        </w:rPr>
        <w:tab/>
      </w:r>
      <w:r>
        <w:rPr>
          <w:rFonts w:eastAsia="Calibri"/>
          <w:b/>
          <w:bCs/>
          <w:i/>
          <w:iCs/>
          <w:u w:val="single"/>
        </w:rPr>
        <w:t>31.</w:t>
      </w:r>
      <w:proofErr w:type="gramStart"/>
      <w:r>
        <w:rPr>
          <w:rFonts w:eastAsia="Calibri"/>
          <w:b/>
          <w:bCs/>
          <w:i/>
          <w:iCs/>
          <w:u w:val="single"/>
        </w:rPr>
        <w:t>6  Upon</w:t>
      </w:r>
      <w:proofErr w:type="gramEnd"/>
      <w:r>
        <w:rPr>
          <w:rFonts w:eastAsia="Calibri"/>
          <w:b/>
          <w:bCs/>
          <w:i/>
          <w:iCs/>
          <w:u w:val="single"/>
        </w:rPr>
        <w:t xml:space="preserve"> retirement employees shall be eligible to remain on the Company’s insurance plans, at the same cost to them as active employees, for one (1) year for each five (5) years of service with the Company prior to retirement.</w:t>
      </w:r>
    </w:p>
    <w:p w14:paraId="342A5987" w14:textId="6AEE24DC" w:rsidR="0068195D" w:rsidRPr="009115CF" w:rsidRDefault="006E7084" w:rsidP="0068195D">
      <w:pPr>
        <w:ind w:left="1440" w:hanging="720"/>
        <w:jc w:val="both"/>
      </w:pPr>
      <w:r>
        <w:rPr>
          <w:rFonts w:eastAsia="Calibri"/>
        </w:rPr>
        <w:t>8</w:t>
      </w:r>
      <w:r w:rsidR="0068195D">
        <w:rPr>
          <w:rFonts w:eastAsia="Calibri"/>
        </w:rPr>
        <w:t xml:space="preserve">. </w:t>
      </w:r>
      <w:r w:rsidR="0068195D">
        <w:rPr>
          <w:rFonts w:eastAsia="Calibri"/>
        </w:rPr>
        <w:tab/>
      </w:r>
      <w:r w:rsidR="0068195D" w:rsidRPr="00AC6BB9">
        <w:rPr>
          <w:b/>
        </w:rPr>
        <w:t>32.1.5</w:t>
      </w:r>
      <w:r w:rsidR="0068195D" w:rsidRPr="009115CF">
        <w:tab/>
      </w:r>
      <w:r w:rsidR="0068195D" w:rsidRPr="00AC6BB9">
        <w:rPr>
          <w:b/>
        </w:rPr>
        <w:t>Transfers Between Job Classifications</w:t>
      </w:r>
      <w:r w:rsidR="0068195D" w:rsidRPr="009115CF">
        <w:t xml:space="preserve">.  Classifications will be defined as lower or higher pay based on the top hourly step for each classification.  Employees transferring from a lower to a higher pay classification will be placed at the step on the higher scale which has the hourly rate closest to the employee’s wage rate on the lower scale without going under; </w:t>
      </w:r>
      <w:r w:rsidR="0068195D" w:rsidRPr="0068195D">
        <w:rPr>
          <w:strike/>
        </w:rPr>
        <w:t>employees would not advance steps until warranted by their years of service in the higher classification</w:t>
      </w:r>
      <w:r w:rsidR="0068195D" w:rsidRPr="009115CF">
        <w:t xml:space="preserve">; employees who are not eligible for step advancement will be entitled to the annual increase to the wage scale, if any.  Employees transferring from a higher to a lower pay classification will be placed at the step on the lower scale which has the hourly rate closest to the employee’s wage rate on the higher scale; thus, if the employee’s current rate of pay exceeds the top step wage rate for the lower pay classification, the employee will be placed at the top step wage rate of the lower pay classification; </w:t>
      </w:r>
      <w:r w:rsidR="0068195D" w:rsidRPr="0068195D">
        <w:rPr>
          <w:strike/>
        </w:rPr>
        <w:t>employees would not advance steps until warranted by their years of service in the lower classification</w:t>
      </w:r>
      <w:r w:rsidR="0068195D" w:rsidRPr="009115CF">
        <w:t>; employees who are not eligible for step advancement will be entitled to the annual increase to the wage scale, if any.</w:t>
      </w:r>
    </w:p>
    <w:p w14:paraId="57B96CA7" w14:textId="77777777" w:rsidR="0068195D" w:rsidRPr="009115CF" w:rsidRDefault="0068195D" w:rsidP="0068195D">
      <w:pPr>
        <w:ind w:left="2160" w:hanging="720"/>
        <w:jc w:val="both"/>
      </w:pPr>
    </w:p>
    <w:p w14:paraId="4355792C" w14:textId="7F8A2FFC" w:rsidR="0068195D" w:rsidRDefault="0068195D" w:rsidP="00792ABE">
      <w:pPr>
        <w:spacing w:after="160" w:line="259" w:lineRule="auto"/>
        <w:ind w:left="1440" w:hanging="720"/>
        <w:jc w:val="both"/>
        <w:rPr>
          <w:rFonts w:eastAsia="Calibri"/>
        </w:rPr>
      </w:pPr>
    </w:p>
    <w:p w14:paraId="1453B43D" w14:textId="77777777" w:rsidR="0068195D" w:rsidRDefault="0068195D" w:rsidP="00792ABE">
      <w:pPr>
        <w:spacing w:after="160" w:line="259" w:lineRule="auto"/>
        <w:ind w:left="1440" w:hanging="720"/>
        <w:jc w:val="both"/>
        <w:rPr>
          <w:rFonts w:eastAsia="Calibri"/>
        </w:rPr>
      </w:pPr>
    </w:p>
    <w:p w14:paraId="1EDC871E" w14:textId="6F2E78DA" w:rsidR="00764415" w:rsidRDefault="006E7084" w:rsidP="00792ABE">
      <w:pPr>
        <w:spacing w:after="160" w:line="259" w:lineRule="auto"/>
        <w:ind w:left="1440" w:hanging="720"/>
        <w:jc w:val="both"/>
      </w:pPr>
      <w:r>
        <w:rPr>
          <w:rFonts w:eastAsia="Calibri"/>
        </w:rPr>
        <w:t>9</w:t>
      </w:r>
      <w:r w:rsidR="00792ABE">
        <w:rPr>
          <w:rFonts w:eastAsia="Calibri"/>
        </w:rPr>
        <w:t>.</w:t>
      </w:r>
      <w:r w:rsidR="00792ABE">
        <w:rPr>
          <w:rFonts w:eastAsia="Calibri"/>
        </w:rPr>
        <w:tab/>
      </w:r>
      <w:r w:rsidR="00764415" w:rsidRPr="00AC6BB9">
        <w:rPr>
          <w:b/>
        </w:rPr>
        <w:t>32.3.2</w:t>
      </w:r>
      <w:r w:rsidR="00764415" w:rsidRPr="009115CF">
        <w:tab/>
        <w:t xml:space="preserve">Unrestricted Call.  Employees required to be on unrestricted call will be paid </w:t>
      </w:r>
      <w:r w:rsidR="00764415" w:rsidRPr="00792ABE">
        <w:rPr>
          <w:strike/>
        </w:rPr>
        <w:t>$4.50</w:t>
      </w:r>
      <w:r w:rsidR="00764415" w:rsidRPr="009115CF">
        <w:t xml:space="preserve"> </w:t>
      </w:r>
      <w:r w:rsidR="00792ABE">
        <w:rPr>
          <w:b/>
          <w:bCs/>
          <w:i/>
          <w:iCs/>
          <w:u w:val="single"/>
        </w:rPr>
        <w:t>$6.50</w:t>
      </w:r>
      <w:r w:rsidR="00792ABE">
        <w:t xml:space="preserve"> </w:t>
      </w:r>
      <w:r w:rsidR="00764415" w:rsidRPr="009115CF">
        <w:t>for each hour on call.</w:t>
      </w:r>
    </w:p>
    <w:p w14:paraId="532A7C54" w14:textId="1CAB578E" w:rsidR="00992DD1" w:rsidRDefault="00992DD1" w:rsidP="00792ABE">
      <w:pPr>
        <w:spacing w:after="160" w:line="259" w:lineRule="auto"/>
        <w:ind w:left="1440" w:hanging="720"/>
        <w:jc w:val="both"/>
      </w:pPr>
      <w:r>
        <w:tab/>
      </w:r>
    </w:p>
    <w:p w14:paraId="16DD5C04" w14:textId="5A6D823E" w:rsidR="00992DD1" w:rsidRPr="00AC6BB9" w:rsidRDefault="00992DD1" w:rsidP="00992DD1">
      <w:pPr>
        <w:pStyle w:val="BodyText"/>
        <w:ind w:left="720" w:hanging="720"/>
        <w:rPr>
          <w:color w:val="000000"/>
        </w:rPr>
      </w:pPr>
      <w:r>
        <w:tab/>
      </w:r>
      <w:r w:rsidR="006E7084" w:rsidRPr="006E7084">
        <w:rPr>
          <w:b w:val="0"/>
          <w:bCs/>
        </w:rPr>
        <w:t>10</w:t>
      </w:r>
      <w:r w:rsidRPr="00992DD1">
        <w:rPr>
          <w:b w:val="0"/>
          <w:bCs/>
        </w:rPr>
        <w:t>.</w:t>
      </w:r>
      <w:r>
        <w:tab/>
      </w:r>
      <w:r w:rsidRPr="00A21521">
        <w:rPr>
          <w:color w:val="000000"/>
        </w:rPr>
        <w:t xml:space="preserve">32.2 </w:t>
      </w:r>
      <w:r>
        <w:rPr>
          <w:color w:val="000000"/>
        </w:rPr>
        <w:tab/>
      </w:r>
      <w:r w:rsidRPr="00A21521">
        <w:rPr>
          <w:color w:val="000000"/>
        </w:rPr>
        <w:t>Premium Pays</w:t>
      </w:r>
    </w:p>
    <w:p w14:paraId="451FD04E" w14:textId="77777777" w:rsidR="00992DD1" w:rsidRPr="00AC6BB9" w:rsidRDefault="00992DD1" w:rsidP="00992DD1">
      <w:pPr>
        <w:pStyle w:val="BodyText"/>
        <w:widowControl w:val="0"/>
        <w:numPr>
          <w:ilvl w:val="0"/>
          <w:numId w:val="1"/>
        </w:numPr>
        <w:tabs>
          <w:tab w:val="left" w:pos="1067"/>
        </w:tabs>
        <w:suppressAutoHyphens/>
        <w:spacing w:line="288" w:lineRule="auto"/>
        <w:ind w:left="1080"/>
        <w:rPr>
          <w:b w:val="0"/>
          <w:color w:val="000000"/>
        </w:rPr>
      </w:pPr>
      <w:r w:rsidRPr="00AC6BB9">
        <w:rPr>
          <w:b w:val="0"/>
          <w:color w:val="000000"/>
        </w:rPr>
        <w:t>Designated Lead, Designated Special Project Lead: $3.00 per hour when working in that capacity</w:t>
      </w:r>
    </w:p>
    <w:p w14:paraId="70872BC8" w14:textId="77777777" w:rsidR="00992DD1" w:rsidRPr="00AC6BB9" w:rsidRDefault="00992DD1" w:rsidP="00992DD1">
      <w:pPr>
        <w:pStyle w:val="BodyText"/>
        <w:widowControl w:val="0"/>
        <w:numPr>
          <w:ilvl w:val="0"/>
          <w:numId w:val="1"/>
        </w:numPr>
        <w:tabs>
          <w:tab w:val="left" w:pos="1067"/>
        </w:tabs>
        <w:suppressAutoHyphens/>
        <w:spacing w:line="288" w:lineRule="auto"/>
        <w:ind w:left="1080"/>
        <w:rPr>
          <w:b w:val="0"/>
          <w:color w:val="000000"/>
        </w:rPr>
      </w:pPr>
      <w:r w:rsidRPr="00AC6BB9">
        <w:rPr>
          <w:b w:val="0"/>
          <w:color w:val="000000"/>
        </w:rPr>
        <w:t>Mechanic Shop Foreman: $</w:t>
      </w:r>
      <w:r>
        <w:rPr>
          <w:b w:val="0"/>
          <w:color w:val="000000"/>
        </w:rPr>
        <w:t>2.00</w:t>
      </w:r>
      <w:r w:rsidRPr="00AC6BB9">
        <w:rPr>
          <w:b w:val="0"/>
          <w:color w:val="000000"/>
        </w:rPr>
        <w:t xml:space="preserve"> per hour worked in the Foreman role</w:t>
      </w:r>
    </w:p>
    <w:p w14:paraId="0CA783A2" w14:textId="77777777" w:rsidR="00992DD1" w:rsidRPr="00AC6BB9" w:rsidRDefault="00992DD1" w:rsidP="00992DD1">
      <w:pPr>
        <w:pStyle w:val="BodyText"/>
        <w:widowControl w:val="0"/>
        <w:numPr>
          <w:ilvl w:val="0"/>
          <w:numId w:val="1"/>
        </w:numPr>
        <w:tabs>
          <w:tab w:val="left" w:pos="1067"/>
        </w:tabs>
        <w:suppressAutoHyphens/>
        <w:spacing w:line="288" w:lineRule="auto"/>
        <w:ind w:left="1080"/>
        <w:rPr>
          <w:b w:val="0"/>
          <w:color w:val="000000"/>
        </w:rPr>
      </w:pPr>
      <w:r w:rsidRPr="00AC6BB9">
        <w:rPr>
          <w:b w:val="0"/>
          <w:color w:val="000000"/>
        </w:rPr>
        <w:t>Any Training Officer/Facilitator: $1.00 per hour worked</w:t>
      </w:r>
    </w:p>
    <w:p w14:paraId="11718797" w14:textId="77777777" w:rsidR="00992DD1" w:rsidRPr="00AC6BB9" w:rsidRDefault="00992DD1" w:rsidP="00992DD1">
      <w:pPr>
        <w:pStyle w:val="BodyText"/>
        <w:widowControl w:val="0"/>
        <w:numPr>
          <w:ilvl w:val="0"/>
          <w:numId w:val="1"/>
        </w:numPr>
        <w:tabs>
          <w:tab w:val="left" w:pos="1067"/>
        </w:tabs>
        <w:suppressAutoHyphens/>
        <w:spacing w:line="288" w:lineRule="auto"/>
        <w:ind w:left="1080"/>
        <w:rPr>
          <w:b w:val="0"/>
          <w:color w:val="000000"/>
        </w:rPr>
      </w:pPr>
      <w:r w:rsidRPr="00AC6BB9">
        <w:rPr>
          <w:b w:val="0"/>
          <w:color w:val="000000"/>
        </w:rPr>
        <w:t>Any Training Officer/Facilitator</w:t>
      </w:r>
      <w:r w:rsidRPr="0020364B">
        <w:rPr>
          <w:b w:val="0"/>
          <w:color w:val="000000"/>
        </w:rPr>
        <w:t>: $4</w:t>
      </w:r>
      <w:r w:rsidRPr="00AC6BB9">
        <w:rPr>
          <w:b w:val="0"/>
          <w:color w:val="000000"/>
        </w:rPr>
        <w:t>.00 per hour when training</w:t>
      </w:r>
    </w:p>
    <w:p w14:paraId="4B6B6600" w14:textId="77777777" w:rsidR="00992DD1" w:rsidRPr="00AC6BB9" w:rsidRDefault="00992DD1" w:rsidP="00992DD1">
      <w:pPr>
        <w:pStyle w:val="BodyText"/>
        <w:widowControl w:val="0"/>
        <w:numPr>
          <w:ilvl w:val="0"/>
          <w:numId w:val="1"/>
        </w:numPr>
        <w:tabs>
          <w:tab w:val="left" w:pos="1067"/>
        </w:tabs>
        <w:suppressAutoHyphens/>
        <w:spacing w:line="288" w:lineRule="auto"/>
        <w:ind w:left="1080"/>
        <w:rPr>
          <w:b w:val="0"/>
          <w:color w:val="000000"/>
        </w:rPr>
      </w:pPr>
      <w:r w:rsidRPr="00AC6BB9">
        <w:rPr>
          <w:b w:val="0"/>
          <w:color w:val="000000"/>
        </w:rPr>
        <w:t>Courier/Special Transportation Flexible Position: $2.50 per hour worked</w:t>
      </w:r>
    </w:p>
    <w:p w14:paraId="7234E60A" w14:textId="77777777" w:rsidR="00992DD1" w:rsidRPr="00AC6BB9" w:rsidRDefault="00992DD1" w:rsidP="00992DD1">
      <w:pPr>
        <w:pStyle w:val="BodyText"/>
        <w:widowControl w:val="0"/>
        <w:numPr>
          <w:ilvl w:val="0"/>
          <w:numId w:val="1"/>
        </w:numPr>
        <w:tabs>
          <w:tab w:val="left" w:pos="1067"/>
        </w:tabs>
        <w:suppressAutoHyphens/>
        <w:spacing w:line="288" w:lineRule="auto"/>
        <w:ind w:left="1080"/>
        <w:jc w:val="both"/>
        <w:rPr>
          <w:b w:val="0"/>
          <w:color w:val="000000"/>
        </w:rPr>
      </w:pPr>
      <w:r w:rsidRPr="00AC6BB9">
        <w:rPr>
          <w:b w:val="0"/>
          <w:color w:val="000000"/>
        </w:rPr>
        <w:t>Employees who work a Holiday Shift as defined in Article 8.5 of the Agreement</w:t>
      </w:r>
    </w:p>
    <w:p w14:paraId="7269F7E1" w14:textId="23EF6E6F" w:rsidR="00992DD1" w:rsidRPr="006E7084" w:rsidRDefault="00992DD1" w:rsidP="00992DD1">
      <w:pPr>
        <w:pStyle w:val="BodyText"/>
        <w:widowControl w:val="0"/>
        <w:numPr>
          <w:ilvl w:val="0"/>
          <w:numId w:val="1"/>
        </w:numPr>
        <w:suppressAutoHyphens/>
        <w:spacing w:after="140" w:line="288" w:lineRule="auto"/>
        <w:ind w:left="1080"/>
      </w:pPr>
      <w:r w:rsidRPr="0013754C">
        <w:rPr>
          <w:b w:val="0"/>
          <w:color w:val="000000"/>
        </w:rPr>
        <w:t>shall receive 1.5 times their base rate for hours worked on the shift</w:t>
      </w:r>
    </w:p>
    <w:p w14:paraId="0D384DA3" w14:textId="3F809A51" w:rsidR="00764415" w:rsidRDefault="006E7084" w:rsidP="006E7084">
      <w:pPr>
        <w:pStyle w:val="BodyText"/>
        <w:widowControl w:val="0"/>
        <w:suppressAutoHyphens/>
        <w:spacing w:after="140" w:line="288" w:lineRule="auto"/>
        <w:ind w:left="720" w:firstLine="360"/>
        <w:jc w:val="both"/>
        <w:rPr>
          <w:i/>
          <w:iCs/>
          <w:u w:val="single"/>
        </w:rPr>
      </w:pPr>
      <w:r>
        <w:rPr>
          <w:i/>
          <w:iCs/>
          <w:u w:val="single"/>
        </w:rPr>
        <w:t>R</w:t>
      </w:r>
      <w:r w:rsidRPr="006E7084">
        <w:rPr>
          <w:i/>
          <w:iCs/>
          <w:u w:val="single"/>
        </w:rPr>
        <w:t xml:space="preserve">ed Status </w:t>
      </w:r>
      <w:r w:rsidR="00992DD1" w:rsidRPr="006E7084">
        <w:rPr>
          <w:i/>
          <w:iCs/>
          <w:u w:val="single"/>
        </w:rPr>
        <w:t>Dispatcher</w:t>
      </w:r>
      <w:r w:rsidR="00F05C9E">
        <w:rPr>
          <w:i/>
          <w:iCs/>
          <w:u w:val="single"/>
        </w:rPr>
        <w:t xml:space="preserve">:  </w:t>
      </w:r>
      <w:r w:rsidR="00992DD1" w:rsidRPr="006E7084">
        <w:rPr>
          <w:i/>
          <w:iCs/>
          <w:u w:val="single"/>
        </w:rPr>
        <w:t xml:space="preserve"> $</w:t>
      </w:r>
      <w:r w:rsidRPr="006E7084">
        <w:rPr>
          <w:i/>
          <w:iCs/>
          <w:u w:val="single"/>
        </w:rPr>
        <w:t xml:space="preserve">2.00 per </w:t>
      </w:r>
      <w:r>
        <w:rPr>
          <w:i/>
          <w:iCs/>
          <w:u w:val="single"/>
        </w:rPr>
        <w:t>hour</w:t>
      </w:r>
    </w:p>
    <w:p w14:paraId="3252466E" w14:textId="5F200021" w:rsidR="006E7084" w:rsidRDefault="006E7084" w:rsidP="006E7084">
      <w:pPr>
        <w:pStyle w:val="BodyText"/>
        <w:widowControl w:val="0"/>
        <w:suppressAutoHyphens/>
        <w:spacing w:after="140" w:line="288" w:lineRule="auto"/>
        <w:ind w:left="720" w:firstLine="360"/>
        <w:jc w:val="both"/>
        <w:rPr>
          <w:i/>
          <w:iCs/>
          <w:u w:val="single"/>
        </w:rPr>
      </w:pPr>
      <w:r>
        <w:rPr>
          <w:i/>
          <w:iCs/>
          <w:u w:val="single"/>
        </w:rPr>
        <w:t>Partial Red Status Dispatcher</w:t>
      </w:r>
      <w:r w:rsidR="00F05C9E">
        <w:rPr>
          <w:i/>
          <w:iCs/>
          <w:u w:val="single"/>
        </w:rPr>
        <w:t xml:space="preserve">: </w:t>
      </w:r>
      <w:r>
        <w:rPr>
          <w:i/>
          <w:iCs/>
          <w:u w:val="single"/>
        </w:rPr>
        <w:t xml:space="preserve"> $0.75 per hour</w:t>
      </w:r>
    </w:p>
    <w:p w14:paraId="69B1DB69" w14:textId="13A69389" w:rsidR="00F05C9E" w:rsidRDefault="00F05C9E" w:rsidP="006E7084">
      <w:pPr>
        <w:pStyle w:val="BodyText"/>
        <w:widowControl w:val="0"/>
        <w:suppressAutoHyphens/>
        <w:spacing w:after="140" w:line="288" w:lineRule="auto"/>
        <w:ind w:left="720" w:firstLine="360"/>
        <w:jc w:val="both"/>
        <w:rPr>
          <w:i/>
          <w:iCs/>
          <w:u w:val="single"/>
        </w:rPr>
      </w:pPr>
      <w:r>
        <w:rPr>
          <w:i/>
          <w:iCs/>
          <w:u w:val="single"/>
        </w:rPr>
        <w:t xml:space="preserve">Paramedic with at least an Associate Degrees: </w:t>
      </w:r>
      <w:bookmarkStart w:id="0" w:name="_GoBack"/>
      <w:bookmarkEnd w:id="0"/>
      <w:r>
        <w:rPr>
          <w:i/>
          <w:iCs/>
          <w:u w:val="single"/>
        </w:rPr>
        <w:t xml:space="preserve"> $1.00 per hour</w:t>
      </w:r>
    </w:p>
    <w:p w14:paraId="4407217C" w14:textId="77777777" w:rsidR="00764415" w:rsidRDefault="00764415" w:rsidP="00764415">
      <w:pPr>
        <w:ind w:left="720" w:hanging="720"/>
        <w:jc w:val="both"/>
      </w:pPr>
    </w:p>
    <w:p w14:paraId="609C5F85" w14:textId="410B5083" w:rsidR="00764415" w:rsidRDefault="0068195D" w:rsidP="00792ABE">
      <w:pPr>
        <w:ind w:left="1440" w:hanging="720"/>
        <w:jc w:val="both"/>
        <w:rPr>
          <w:b/>
          <w:bCs/>
          <w:i/>
          <w:iCs/>
          <w:u w:val="single"/>
        </w:rPr>
      </w:pPr>
      <w:r>
        <w:t>1</w:t>
      </w:r>
      <w:r w:rsidR="00F05C9E">
        <w:t>1</w:t>
      </w:r>
      <w:r w:rsidR="00792ABE">
        <w:t>.</w:t>
      </w:r>
      <w:r w:rsidR="00792ABE">
        <w:tab/>
      </w:r>
      <w:r w:rsidR="00792ABE">
        <w:rPr>
          <w:b/>
          <w:bCs/>
          <w:i/>
          <w:iCs/>
          <w:u w:val="single"/>
        </w:rPr>
        <w:t>32.</w:t>
      </w:r>
      <w:proofErr w:type="gramStart"/>
      <w:r w:rsidR="00792ABE">
        <w:rPr>
          <w:b/>
          <w:bCs/>
          <w:i/>
          <w:iCs/>
          <w:u w:val="single"/>
        </w:rPr>
        <w:t>5  Employees</w:t>
      </w:r>
      <w:proofErr w:type="gramEnd"/>
      <w:r w:rsidR="00792ABE">
        <w:rPr>
          <w:b/>
          <w:bCs/>
          <w:i/>
          <w:iCs/>
          <w:u w:val="single"/>
        </w:rPr>
        <w:t xml:space="preserve"> shall be paid a night shift differential of $1.75 per hour for all hours worked </w:t>
      </w:r>
      <w:r w:rsidR="00992DD1">
        <w:rPr>
          <w:b/>
          <w:bCs/>
          <w:i/>
          <w:iCs/>
          <w:u w:val="single"/>
        </w:rPr>
        <w:t xml:space="preserve">between </w:t>
      </w:r>
      <w:r w:rsidR="004E0614">
        <w:rPr>
          <w:b/>
          <w:bCs/>
          <w:i/>
          <w:iCs/>
          <w:u w:val="single"/>
        </w:rPr>
        <w:t>1900</w:t>
      </w:r>
      <w:r w:rsidR="00992DD1">
        <w:rPr>
          <w:b/>
          <w:bCs/>
          <w:i/>
          <w:iCs/>
          <w:u w:val="single"/>
        </w:rPr>
        <w:t xml:space="preserve"> and 0700 </w:t>
      </w:r>
    </w:p>
    <w:p w14:paraId="6F7C95F5" w14:textId="1991CFF7" w:rsidR="00992DD1" w:rsidRDefault="00992DD1" w:rsidP="00792ABE">
      <w:pPr>
        <w:ind w:left="1440" w:hanging="720"/>
        <w:jc w:val="both"/>
      </w:pPr>
    </w:p>
    <w:p w14:paraId="09E4093B" w14:textId="58F2834F" w:rsidR="00992DD1" w:rsidRDefault="00992DD1" w:rsidP="00792ABE">
      <w:pPr>
        <w:ind w:left="1440" w:hanging="720"/>
        <w:jc w:val="both"/>
        <w:rPr>
          <w:b/>
          <w:bCs/>
          <w:i/>
          <w:iCs/>
          <w:u w:val="single"/>
        </w:rPr>
      </w:pPr>
      <w:r>
        <w:t>1</w:t>
      </w:r>
      <w:r w:rsidR="00F05C9E">
        <w:t>2</w:t>
      </w:r>
      <w:r>
        <w:t>.</w:t>
      </w:r>
      <w:r>
        <w:tab/>
      </w:r>
      <w:r>
        <w:rPr>
          <w:b/>
          <w:bCs/>
          <w:i/>
          <w:iCs/>
          <w:u w:val="single"/>
        </w:rPr>
        <w:t xml:space="preserve">32.6   Employees shall be paid weekend differential of $1.75 per hour for  all hours worked between 0700 and </w:t>
      </w:r>
      <w:r w:rsidR="004E0614">
        <w:rPr>
          <w:b/>
          <w:bCs/>
          <w:i/>
          <w:iCs/>
          <w:u w:val="single"/>
        </w:rPr>
        <w:t>190</w:t>
      </w:r>
      <w:r>
        <w:rPr>
          <w:b/>
          <w:bCs/>
          <w:i/>
          <w:iCs/>
          <w:u w:val="single"/>
        </w:rPr>
        <w:t>0 on Saturday and Sunday.</w:t>
      </w:r>
    </w:p>
    <w:p w14:paraId="6A750B75" w14:textId="27458217" w:rsidR="0013247E" w:rsidRDefault="0013247E" w:rsidP="00792ABE">
      <w:pPr>
        <w:ind w:left="1440" w:hanging="720"/>
        <w:jc w:val="both"/>
      </w:pPr>
    </w:p>
    <w:p w14:paraId="309C6620" w14:textId="057FE258" w:rsidR="0013247E" w:rsidRPr="0013247E" w:rsidRDefault="0013247E" w:rsidP="00792ABE">
      <w:pPr>
        <w:ind w:left="1440" w:hanging="720"/>
        <w:jc w:val="both"/>
        <w:rPr>
          <w:b/>
          <w:bCs/>
          <w:i/>
          <w:iCs/>
          <w:u w:val="single"/>
        </w:rPr>
      </w:pPr>
      <w:r>
        <w:t>1</w:t>
      </w:r>
      <w:r w:rsidR="00F05C9E">
        <w:t>3</w:t>
      </w:r>
      <w:r>
        <w:t>.</w:t>
      </w:r>
      <w:r>
        <w:tab/>
      </w:r>
      <w:r>
        <w:rPr>
          <w:b/>
          <w:bCs/>
          <w:i/>
          <w:iCs/>
          <w:u w:val="single"/>
        </w:rPr>
        <w:t xml:space="preserve">32.7   Employees </w:t>
      </w:r>
      <w:r w:rsidR="00F05C9E">
        <w:rPr>
          <w:b/>
          <w:bCs/>
          <w:i/>
          <w:iCs/>
          <w:u w:val="single"/>
        </w:rPr>
        <w:t xml:space="preserve">who park at </w:t>
      </w:r>
      <w:proofErr w:type="spellStart"/>
      <w:r w:rsidR="00F05C9E">
        <w:rPr>
          <w:b/>
          <w:bCs/>
          <w:i/>
          <w:iCs/>
          <w:u w:val="single"/>
        </w:rPr>
        <w:t>Grand</w:t>
      </w:r>
      <w:r>
        <w:rPr>
          <w:b/>
          <w:bCs/>
          <w:i/>
          <w:iCs/>
          <w:u w:val="single"/>
        </w:rPr>
        <w:t>shall</w:t>
      </w:r>
      <w:proofErr w:type="spellEnd"/>
      <w:r>
        <w:rPr>
          <w:b/>
          <w:bCs/>
          <w:i/>
          <w:iCs/>
          <w:u w:val="single"/>
        </w:rPr>
        <w:t xml:space="preserve"> be paid a parking stipend in the amount of </w:t>
      </w:r>
      <w:r w:rsidR="00F05C9E">
        <w:rPr>
          <w:b/>
          <w:bCs/>
          <w:i/>
          <w:iCs/>
          <w:u w:val="single"/>
        </w:rPr>
        <w:t>$150.00 per month</w:t>
      </w:r>
      <w:r>
        <w:rPr>
          <w:b/>
          <w:bCs/>
          <w:i/>
          <w:iCs/>
          <w:u w:val="single"/>
        </w:rPr>
        <w:tab/>
      </w:r>
    </w:p>
    <w:sectPr w:rsidR="0013247E" w:rsidRPr="0013247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E466F" w14:textId="77777777" w:rsidR="00625DFB" w:rsidRDefault="00625DFB" w:rsidP="003248CC">
      <w:r>
        <w:separator/>
      </w:r>
    </w:p>
  </w:endnote>
  <w:endnote w:type="continuationSeparator" w:id="0">
    <w:p w14:paraId="2D5CF034" w14:textId="77777777" w:rsidR="00625DFB" w:rsidRDefault="00625DFB" w:rsidP="0032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BA1E8" w14:textId="77777777" w:rsidR="00625DFB" w:rsidRDefault="00625DFB" w:rsidP="003248CC">
      <w:r>
        <w:separator/>
      </w:r>
    </w:p>
  </w:footnote>
  <w:footnote w:type="continuationSeparator" w:id="0">
    <w:p w14:paraId="4E8BA635" w14:textId="77777777" w:rsidR="00625DFB" w:rsidRDefault="00625DFB" w:rsidP="0032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E18F" w14:textId="101A1959" w:rsidR="003248CC" w:rsidRDefault="003248CC">
    <w:pPr>
      <w:pStyle w:val="Header"/>
    </w:pPr>
    <w:r>
      <w:t xml:space="preserve">IAEP R7-167 </w:t>
    </w:r>
    <w:r w:rsidR="0068195D">
      <w:t xml:space="preserve">Initial </w:t>
    </w:r>
    <w:r>
      <w:t>Proposal, 12/4/20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2DAF"/>
    <w:multiLevelType w:val="hybridMultilevel"/>
    <w:tmpl w:val="8EA6FB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6CE0B5B"/>
    <w:multiLevelType w:val="hybridMultilevel"/>
    <w:tmpl w:val="B2D64680"/>
    <w:lvl w:ilvl="0" w:tplc="04090001">
      <w:start w:val="1"/>
      <w:numFmt w:val="bullet"/>
      <w:lvlText w:val=""/>
      <w:lvlJc w:val="left"/>
      <w:pPr>
        <w:ind w:left="1630" w:hanging="360"/>
      </w:pPr>
      <w:rPr>
        <w:rFonts w:ascii="Symbol" w:hAnsi="Symbol" w:hint="default"/>
      </w:rPr>
    </w:lvl>
    <w:lvl w:ilvl="1" w:tplc="04090003">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2" w15:restartNumberingAfterBreak="0">
    <w:nsid w:val="4138564B"/>
    <w:multiLevelType w:val="hybridMultilevel"/>
    <w:tmpl w:val="8EA6FB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68A265C6"/>
    <w:multiLevelType w:val="hybridMultilevel"/>
    <w:tmpl w:val="F7505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6C3093"/>
    <w:multiLevelType w:val="multilevel"/>
    <w:tmpl w:val="CDA016AE"/>
    <w:lvl w:ilvl="0">
      <w:start w:val="15"/>
      <w:numFmt w:val="decimal"/>
      <w:lvlText w:val="%1"/>
      <w:lvlJc w:val="left"/>
      <w:pPr>
        <w:tabs>
          <w:tab w:val="num" w:pos="600"/>
        </w:tabs>
        <w:ind w:left="600" w:hanging="600"/>
      </w:pPr>
      <w:rPr>
        <w:rFonts w:cs="Times New Roman" w:hint="default"/>
      </w:rPr>
    </w:lvl>
    <w:lvl w:ilvl="1">
      <w:start w:val="6"/>
      <w:numFmt w:val="decimal"/>
      <w:lvlText w:val="%1.%2"/>
      <w:lvlJc w:val="left"/>
      <w:pPr>
        <w:tabs>
          <w:tab w:val="num" w:pos="960"/>
        </w:tabs>
        <w:ind w:left="960" w:hanging="600"/>
      </w:pPr>
      <w:rPr>
        <w:rFonts w:cs="Times New Roman" w:hint="default"/>
      </w:rPr>
    </w:lvl>
    <w:lvl w:ilvl="2">
      <w:start w:val="2"/>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8B5"/>
    <w:rsid w:val="00002165"/>
    <w:rsid w:val="00050940"/>
    <w:rsid w:val="001009FA"/>
    <w:rsid w:val="0013247E"/>
    <w:rsid w:val="003248CC"/>
    <w:rsid w:val="004E0614"/>
    <w:rsid w:val="00537EBB"/>
    <w:rsid w:val="005517BB"/>
    <w:rsid w:val="00625DFB"/>
    <w:rsid w:val="0068195D"/>
    <w:rsid w:val="006E7084"/>
    <w:rsid w:val="00764415"/>
    <w:rsid w:val="00792ABE"/>
    <w:rsid w:val="00863BE3"/>
    <w:rsid w:val="00884843"/>
    <w:rsid w:val="008E764B"/>
    <w:rsid w:val="009078B5"/>
    <w:rsid w:val="00992DD1"/>
    <w:rsid w:val="00C429FF"/>
    <w:rsid w:val="00D42A07"/>
    <w:rsid w:val="00E5799E"/>
    <w:rsid w:val="00F05C9E"/>
    <w:rsid w:val="00F9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48D1E"/>
  <w15:chartTrackingRefBased/>
  <w15:docId w15:val="{F43A6BFE-61AD-487D-BBCE-C74866B6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4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CC"/>
    <w:pPr>
      <w:tabs>
        <w:tab w:val="center" w:pos="4680"/>
        <w:tab w:val="right" w:pos="9360"/>
      </w:tabs>
    </w:pPr>
  </w:style>
  <w:style w:type="character" w:customStyle="1" w:styleId="HeaderChar">
    <w:name w:val="Header Char"/>
    <w:basedOn w:val="DefaultParagraphFont"/>
    <w:link w:val="Header"/>
    <w:uiPriority w:val="99"/>
    <w:rsid w:val="003248CC"/>
  </w:style>
  <w:style w:type="paragraph" w:styleId="Footer">
    <w:name w:val="footer"/>
    <w:basedOn w:val="Normal"/>
    <w:link w:val="FooterChar"/>
    <w:uiPriority w:val="99"/>
    <w:unhideWhenUsed/>
    <w:rsid w:val="003248CC"/>
    <w:pPr>
      <w:tabs>
        <w:tab w:val="center" w:pos="4680"/>
        <w:tab w:val="right" w:pos="9360"/>
      </w:tabs>
    </w:pPr>
  </w:style>
  <w:style w:type="character" w:customStyle="1" w:styleId="FooterChar">
    <w:name w:val="Footer Char"/>
    <w:basedOn w:val="DefaultParagraphFont"/>
    <w:link w:val="Footer"/>
    <w:uiPriority w:val="99"/>
    <w:rsid w:val="003248CC"/>
  </w:style>
  <w:style w:type="paragraph" w:styleId="BodyText">
    <w:name w:val="Body Text"/>
    <w:basedOn w:val="Normal"/>
    <w:link w:val="BodyTextChar"/>
    <w:uiPriority w:val="99"/>
    <w:rsid w:val="00764415"/>
    <w:rPr>
      <w:b/>
      <w:szCs w:val="20"/>
    </w:rPr>
  </w:style>
  <w:style w:type="character" w:customStyle="1" w:styleId="BodyTextChar">
    <w:name w:val="Body Text Char"/>
    <w:basedOn w:val="DefaultParagraphFont"/>
    <w:link w:val="BodyText"/>
    <w:uiPriority w:val="99"/>
    <w:rsid w:val="00764415"/>
    <w:rPr>
      <w:rFonts w:ascii="Times New Roman" w:eastAsia="Times New Roman" w:hAnsi="Times New Roman" w:cs="Times New Roman"/>
      <w:b/>
      <w:sz w:val="24"/>
      <w:szCs w:val="20"/>
    </w:rPr>
  </w:style>
  <w:style w:type="paragraph" w:styleId="ListParagraph">
    <w:name w:val="List Paragraph"/>
    <w:basedOn w:val="Normal"/>
    <w:uiPriority w:val="34"/>
    <w:qFormat/>
    <w:rsid w:val="00764415"/>
    <w:pPr>
      <w:ind w:left="720"/>
      <w:contextualSpacing/>
    </w:pPr>
  </w:style>
  <w:style w:type="paragraph" w:customStyle="1" w:styleId="TableContents">
    <w:name w:val="Table Contents"/>
    <w:basedOn w:val="Normal"/>
    <w:rsid w:val="00792ABE"/>
    <w:pPr>
      <w:widowControl w:val="0"/>
      <w:suppressLineNumbers/>
      <w:suppressAutoHyphens/>
    </w:pPr>
    <w:rPr>
      <w:rFonts w:eastAsia="Arial" w:cs="Arial"/>
      <w:kern w:val="1"/>
      <w:lang w:eastAsia="zh-CN" w:bidi="hi-IN"/>
    </w:rPr>
  </w:style>
  <w:style w:type="paragraph" w:customStyle="1" w:styleId="TableHeading">
    <w:name w:val="Table Heading"/>
    <w:basedOn w:val="TableContents"/>
    <w:rsid w:val="00792ABE"/>
    <w:pPr>
      <w:jc w:val="center"/>
    </w:pPr>
    <w:rPr>
      <w:b/>
      <w:bCs/>
    </w:rPr>
  </w:style>
  <w:style w:type="paragraph" w:styleId="BalloonText">
    <w:name w:val="Balloon Text"/>
    <w:basedOn w:val="Normal"/>
    <w:link w:val="BalloonTextChar"/>
    <w:uiPriority w:val="99"/>
    <w:semiHidden/>
    <w:unhideWhenUsed/>
    <w:rsid w:val="006E7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0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Anderson</dc:creator>
  <cp:keywords/>
  <dc:description/>
  <cp:lastModifiedBy>Richard Anderson</cp:lastModifiedBy>
  <cp:revision>8</cp:revision>
  <cp:lastPrinted>2020-12-01T19:07:00Z</cp:lastPrinted>
  <dcterms:created xsi:type="dcterms:W3CDTF">2020-12-01T16:14:00Z</dcterms:created>
  <dcterms:modified xsi:type="dcterms:W3CDTF">2020-12-04T15:59:00Z</dcterms:modified>
</cp:coreProperties>
</file>