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end"/>
        <w:rPr>
          <w:rFonts w:ascii="Times New Roman" w:hAnsi="Times New Roman" w:cs="Times New Roman"/>
          <w:sz w:val="20"/>
          <w:szCs w:val="20"/>
        </w:rPr>
      </w:pPr>
      <w:r>
        <w:rPr>
          <w:rFonts w:cs="Times New Roman" w:ascii="Times New Roman" w:hAnsi="Times New Roman"/>
          <w:sz w:val="20"/>
          <w:szCs w:val="20"/>
        </w:rPr>
        <w:t>EMS/IAEP LOU #26</w:t>
      </w:r>
    </w:p>
    <w:p>
      <w:pPr>
        <w:pStyle w:val="NoSpacing"/>
        <w:jc w:val="end"/>
        <w:rPr>
          <w:rFonts w:ascii="Times New Roman" w:hAnsi="Times New Roman" w:cs="Times New Roman"/>
          <w:sz w:val="20"/>
          <w:szCs w:val="20"/>
        </w:rPr>
      </w:pPr>
      <w:r>
        <w:rPr>
          <w:rFonts w:cs="Times New Roman" w:ascii="Times New Roman" w:hAnsi="Times New Roman"/>
          <w:sz w:val="20"/>
          <w:szCs w:val="20"/>
        </w:rPr>
        <w:t>Effective Date: April 1, 2026</w:t>
      </w:r>
    </w:p>
    <w:p>
      <w:pPr>
        <w:pStyle w:val="NoSpacing"/>
        <w:jc w:val="end"/>
        <w:rPr>
          <w:rFonts w:ascii="Times New Roman" w:hAnsi="Times New Roman" w:cs="Times New Roman"/>
          <w:sz w:val="20"/>
          <w:szCs w:val="20"/>
        </w:rPr>
      </w:pPr>
      <w:r>
        <w:rPr>
          <w:rFonts w:cs="Times New Roman" w:ascii="Times New Roman" w:hAnsi="Times New Roman"/>
          <w:sz w:val="20"/>
          <w:szCs w:val="20"/>
        </w:rPr>
        <w:t>Expiration Date: December 31, 2026</w:t>
      </w:r>
    </w:p>
    <w:p>
      <w:pPr>
        <w:pStyle w:val="NoSpacing"/>
        <w:jc w:val="center"/>
        <w:rPr>
          <w:rFonts w:ascii="Times New Roman" w:hAnsi="Times New Roman" w:cs="Times New Roman"/>
          <w:b/>
          <w:bCs/>
        </w:rPr>
      </w:pPr>
      <w:r>
        <w:rPr>
          <w:rFonts w:cs="Times New Roman" w:ascii="Times New Roman" w:hAnsi="Times New Roman"/>
          <w:b/>
          <w:bCs/>
        </w:rPr>
      </w:r>
    </w:p>
    <w:p>
      <w:pPr>
        <w:pStyle w:val="NoSpacing"/>
        <w:jc w:val="center"/>
        <w:rPr>
          <w:rFonts w:ascii="Times New Roman" w:hAnsi="Times New Roman" w:cs="Times New Roman"/>
          <w:b/>
          <w:bCs/>
        </w:rPr>
      </w:pPr>
      <w:r>
        <w:rPr>
          <w:rFonts w:cs="Times New Roman" w:ascii="Times New Roman" w:hAnsi="Times New Roman"/>
          <w:b/>
          <w:bCs/>
        </w:rPr>
      </w:r>
    </w:p>
    <w:p>
      <w:pPr>
        <w:pStyle w:val="NoSpacing"/>
        <w:jc w:val="center"/>
        <w:rPr>
          <w:rFonts w:ascii="Times New Roman" w:hAnsi="Times New Roman" w:cs="Times New Roman"/>
        </w:rPr>
      </w:pPr>
      <w:r>
        <w:rPr>
          <w:rFonts w:cs="Times New Roman" w:ascii="Times New Roman" w:hAnsi="Times New Roman"/>
          <w:b/>
          <w:bCs/>
        </w:rPr>
        <w:t>LETTER OF UNDERSTANDING</w:t>
      </w:r>
    </w:p>
    <w:p>
      <w:pPr>
        <w:pStyle w:val="NoSpacing"/>
        <w:jc w:val="center"/>
        <w:rPr>
          <w:rFonts w:ascii="Times New Roman" w:hAnsi="Times New Roman" w:cs="Times New Roman"/>
        </w:rPr>
      </w:pPr>
      <w:r>
        <w:rPr>
          <w:rFonts w:cs="Times New Roman" w:ascii="Times New Roman" w:hAnsi="Times New Roman"/>
          <w:b/>
          <w:bCs/>
        </w:rPr>
        <w:t>between</w:t>
      </w:r>
    </w:p>
    <w:p>
      <w:pPr>
        <w:pStyle w:val="NoSpacing"/>
        <w:jc w:val="center"/>
        <w:rPr>
          <w:rFonts w:ascii="Times New Roman" w:hAnsi="Times New Roman" w:cs="Times New Roman"/>
        </w:rPr>
      </w:pPr>
      <w:r>
        <w:rPr>
          <w:rFonts w:cs="Times New Roman" w:ascii="Times New Roman" w:hAnsi="Times New Roman"/>
          <w:b/>
          <w:bCs/>
        </w:rPr>
        <w:t>ALLINA HEALTH EMS</w:t>
      </w:r>
    </w:p>
    <w:p>
      <w:pPr>
        <w:pStyle w:val="NoSpacing"/>
        <w:jc w:val="center"/>
        <w:rPr>
          <w:rFonts w:ascii="Times New Roman" w:hAnsi="Times New Roman" w:cs="Times New Roman"/>
        </w:rPr>
      </w:pPr>
      <w:r>
        <w:rPr>
          <w:rFonts w:cs="Times New Roman" w:ascii="Times New Roman" w:hAnsi="Times New Roman"/>
          <w:b/>
          <w:bCs/>
        </w:rPr>
        <w:t>and</w:t>
      </w:r>
    </w:p>
    <w:p>
      <w:pPr>
        <w:pStyle w:val="NoSpacing"/>
        <w:jc w:val="center"/>
        <w:rPr>
          <w:rFonts w:ascii="Times New Roman" w:hAnsi="Times New Roman" w:cs="Times New Roman"/>
          <w:b/>
          <w:bCs/>
        </w:rPr>
      </w:pPr>
      <w:r>
        <w:rPr>
          <w:rFonts w:cs="Times New Roman" w:ascii="Times New Roman" w:hAnsi="Times New Roman"/>
          <w:b/>
          <w:bCs/>
        </w:rPr>
        <w:t>IAEP LOCAL 167</w:t>
      </w:r>
    </w:p>
    <w:p>
      <w:pPr>
        <w:pStyle w:val="NoSpacing"/>
        <w:jc w:val="center"/>
        <w:rPr>
          <w:rFonts w:ascii="Times New Roman" w:hAnsi="Times New Roman" w:cs="Times New Roman"/>
          <w:b/>
          <w:bCs/>
        </w:rPr>
      </w:pPr>
      <w:r>
        <w:rPr>
          <w:rFonts w:cs="Times New Roman" w:ascii="Times New Roman" w:hAnsi="Times New Roman"/>
          <w:b/>
          <w:bCs/>
        </w:rPr>
      </w:r>
    </w:p>
    <w:p>
      <w:pPr>
        <w:pStyle w:val="NoSpacing"/>
        <w:jc w:val="center"/>
        <w:rPr>
          <w:rFonts w:ascii="Times New Roman" w:hAnsi="Times New Roman" w:cs="Times New Roman"/>
          <w:b/>
          <w:bCs/>
        </w:rPr>
      </w:pPr>
      <w:r>
        <w:rPr>
          <w:rFonts w:cs="Times New Roman" w:ascii="Times New Roman" w:hAnsi="Times New Roman"/>
          <w:b/>
          <w:bCs/>
        </w:rPr>
        <w:t>Subject: Disaster Deployment Roster</w:t>
      </w:r>
    </w:p>
    <w:p>
      <w:pPr>
        <w:pStyle w:val="NoSpacing"/>
        <w:pBdr>
          <w:bottom w:val="single" w:sz="12" w:space="1" w:color="000000"/>
        </w:pBdr>
        <w:jc w:val="center"/>
        <w:rPr>
          <w:rFonts w:ascii="Times New Roman" w:hAnsi="Times New Roman" w:cs="Times New Roman"/>
          <w:b/>
          <w:bCs/>
        </w:rPr>
      </w:pPr>
      <w:r>
        <w:rPr>
          <w:rFonts w:cs="Times New Roman" w:ascii="Times New Roman" w:hAnsi="Times New Roman"/>
          <w:b/>
          <w:bCs/>
        </w:rPr>
      </w:r>
    </w:p>
    <w:p>
      <w:pPr>
        <w:pStyle w:val="NoSpacing"/>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t xml:space="preserve">Allina Health EMS and IAEP Local 167 agree to delete Section 32.4 of the collective bargaining agreement and to add a new Section 33.5 on Disaster Deployment Roster.  </w:t>
      </w:r>
    </w:p>
    <w:p>
      <w:pPr>
        <w:pStyle w:val="NoSpacing"/>
        <w:jc w:val="both"/>
        <w:rPr>
          <w:rFonts w:ascii="Times New Roman" w:hAnsi="Times New Roman" w:cs="Times New Roman"/>
          <w:b/>
          <w:bCs/>
        </w:rPr>
      </w:pPr>
      <w:r>
        <w:rPr>
          <w:rFonts w:cs="Times New Roman" w:ascii="Times New Roman" w:hAnsi="Times New Roman"/>
        </w:rPr>
        <w:br/>
      </w:r>
      <w:r>
        <w:rPr>
          <w:rFonts w:cs="Times New Roman" w:ascii="Times New Roman" w:hAnsi="Times New Roman"/>
          <w:b/>
          <w:bCs/>
        </w:rPr>
        <w:t>33.5</w:t>
        <w:tab/>
        <w:t>Disaster Deployment Roster</w:t>
      </w:r>
    </w:p>
    <w:p>
      <w:pPr>
        <w:pStyle w:val="NoSpacing"/>
        <w:jc w:val="both"/>
        <w:rPr>
          <w:rFonts w:ascii="Times New Roman" w:hAnsi="Times New Roman" w:cs="Times New Roman"/>
        </w:rPr>
      </w:pPr>
      <w:r>
        <w:rPr>
          <w:rFonts w:cs="Times New Roman" w:ascii="Times New Roman" w:hAnsi="Times New Roman"/>
        </w:rPr>
      </w:r>
    </w:p>
    <w:p>
      <w:pPr>
        <w:pStyle w:val="NoSpacing"/>
        <w:ind w:start="720"/>
        <w:jc w:val="both"/>
        <w:rPr>
          <w:rFonts w:ascii="Times New Roman" w:hAnsi="Times New Roman" w:cs="Times New Roman"/>
        </w:rPr>
      </w:pPr>
      <w:r>
        <w:rPr>
          <w:rFonts w:cs="Times New Roman" w:ascii="Times New Roman" w:hAnsi="Times New Roman"/>
        </w:rPr>
        <w:t xml:space="preserve">Employees selected to the Disaster Deployment Roster may be deployed with the Minnesota Ambulance Strike Team/Task Force and join other Minnesota EMS agencies to respond to disaster zones or areas of national interest, which will involve extensive interactions with the public and local officials.  Deployments are typically multi-day events, most often taking place away from a start-of-shift location, in austere disaster environments.  Hours of work during a deployment vary by mission.  </w:t>
      </w:r>
    </w:p>
    <w:p>
      <w:pPr>
        <w:pStyle w:val="NoSpacing"/>
        <w:ind w:start="720"/>
        <w:jc w:val="both"/>
        <w:rPr>
          <w:rFonts w:ascii="Times New Roman" w:hAnsi="Times New Roman" w:cs="Times New Roman"/>
          <w:b/>
          <w:bCs/>
        </w:rPr>
      </w:pPr>
      <w:r>
        <w:rPr>
          <w:rFonts w:cs="Times New Roman" w:ascii="Times New Roman" w:hAnsi="Times New Roman"/>
          <w:b/>
          <w:bCs/>
        </w:rPr>
      </w:r>
    </w:p>
    <w:p>
      <w:pPr>
        <w:pStyle w:val="NoSpacing"/>
        <w:ind w:start="720"/>
        <w:jc w:val="both"/>
        <w:rPr>
          <w:rFonts w:ascii="Times New Roman" w:hAnsi="Times New Roman" w:cs="Times New Roman"/>
          <w:b/>
          <w:bCs/>
        </w:rPr>
      </w:pPr>
      <w:r>
        <w:rPr>
          <w:rFonts w:cs="Times New Roman" w:ascii="Times New Roman" w:hAnsi="Times New Roman"/>
          <w:b/>
          <w:bCs/>
        </w:rPr>
        <w:t>33.5.1</w:t>
        <w:tab/>
        <w:t>Interview Process</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 xml:space="preserve">Candidates will be subject to an interview process.  Approved employees will be placed on the Disaster Deployment Roster and will be eligible for deployment.    </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720"/>
        <w:jc w:val="both"/>
        <w:rPr>
          <w:rFonts w:ascii="Times New Roman" w:hAnsi="Times New Roman" w:cs="Times New Roman"/>
        </w:rPr>
      </w:pPr>
      <w:r>
        <w:rPr>
          <w:rFonts w:cs="Times New Roman" w:ascii="Times New Roman" w:hAnsi="Times New Roman"/>
          <w:b/>
          <w:bCs/>
        </w:rPr>
        <w:t>33.5.2</w:t>
        <w:tab/>
        <w:t xml:space="preserve">Continued Eligibility  </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 xml:space="preserve">Continued eligibility on the Disaster Deployment Roster is contingent on: </w:t>
      </w:r>
    </w:p>
    <w:p>
      <w:pPr>
        <w:pStyle w:val="NoSpacing"/>
        <w:ind w:start="720"/>
        <w:jc w:val="both"/>
        <w:rPr>
          <w:rFonts w:ascii="Times New Roman" w:hAnsi="Times New Roman" w:cs="Times New Roman"/>
        </w:rPr>
      </w:pPr>
      <w:r>
        <w:rPr>
          <w:rFonts w:cs="Times New Roman" w:ascii="Times New Roman" w:hAnsi="Times New Roman"/>
        </w:rPr>
      </w:r>
    </w:p>
    <w:p>
      <w:pPr>
        <w:pStyle w:val="NoSpacing"/>
        <w:numPr>
          <w:ilvl w:val="0"/>
          <w:numId w:val="1"/>
        </w:numPr>
        <w:ind w:hanging="720" w:start="2160"/>
        <w:jc w:val="both"/>
        <w:rPr>
          <w:rFonts w:ascii="Times New Roman" w:hAnsi="Times New Roman" w:cs="Times New Roman"/>
        </w:rPr>
      </w:pPr>
      <w:r>
        <w:rPr>
          <w:rFonts w:cs="Times New Roman" w:ascii="Times New Roman" w:hAnsi="Times New Roman"/>
        </w:rPr>
        <w:t>No corrective action above a verbal warning</w:t>
      </w:r>
    </w:p>
    <w:p>
      <w:pPr>
        <w:pStyle w:val="NoSpacing"/>
        <w:numPr>
          <w:ilvl w:val="0"/>
          <w:numId w:val="1"/>
        </w:numPr>
        <w:ind w:hanging="720" w:start="2160"/>
        <w:jc w:val="both"/>
        <w:rPr>
          <w:rFonts w:ascii="Times New Roman" w:hAnsi="Times New Roman" w:cs="Times New Roman"/>
        </w:rPr>
      </w:pPr>
      <w:r>
        <w:rPr>
          <w:rFonts w:cs="Times New Roman" w:ascii="Times New Roman" w:hAnsi="Times New Roman"/>
        </w:rPr>
        <w:t>No Code of Conduct violations during deployment; and</w:t>
      </w:r>
    </w:p>
    <w:p>
      <w:pPr>
        <w:pStyle w:val="NoSpacing"/>
        <w:ind w:start="216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 xml:space="preserve">Team members can voluntarily resign at any time, except during an active deployment.  </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720"/>
        <w:jc w:val="both"/>
        <w:rPr>
          <w:rFonts w:ascii="Times New Roman" w:hAnsi="Times New Roman" w:cs="Times New Roman"/>
          <w:b/>
          <w:bCs/>
        </w:rPr>
      </w:pPr>
      <w:r>
        <w:rPr>
          <w:rFonts w:cs="Times New Roman" w:ascii="Times New Roman" w:hAnsi="Times New Roman"/>
          <w:b/>
          <w:bCs/>
        </w:rPr>
        <w:t>32.5.3</w:t>
        <w:tab/>
        <w:t>Mission Assignments</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 xml:space="preserve">Deployment-eligible employees will be selected for deployments based on mission needs.  Allian Health EMS will have sole authority to select team members for the Disaster Deployment Roster.  If selected for a deployment, all preparatory meeting(s) shall be mandatory, and failure to attend these briefings may result in disqualification from the mission. </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720"/>
        <w:jc w:val="both"/>
        <w:rPr>
          <w:rFonts w:ascii="Times New Roman" w:hAnsi="Times New Roman" w:cs="Times New Roman"/>
          <w:b/>
          <w:bCs/>
        </w:rPr>
      </w:pPr>
      <w:r>
        <w:rPr>
          <w:rFonts w:cs="Times New Roman" w:ascii="Times New Roman" w:hAnsi="Times New Roman"/>
          <w:b/>
          <w:bCs/>
        </w:rPr>
        <w:t>3.5.4</w:t>
        <w:tab/>
        <w:t>Planning Meetings</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 xml:space="preserve">For planning meetings ahead of deployment, team members will be paid their regular hourly rate for hours worked.  Section 33.5.6 will not apply.  </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720"/>
        <w:jc w:val="both"/>
        <w:rPr>
          <w:rFonts w:ascii="Times New Roman" w:hAnsi="Times New Roman" w:cs="Times New Roman"/>
          <w:b/>
          <w:bCs/>
        </w:rPr>
      </w:pPr>
      <w:r>
        <w:rPr>
          <w:rFonts w:cs="Times New Roman" w:ascii="Times New Roman" w:hAnsi="Times New Roman"/>
          <w:b/>
          <w:bCs/>
        </w:rPr>
        <w:t>32.5.5</w:t>
        <w:tab/>
        <w:t>Training</w:t>
      </w:r>
    </w:p>
    <w:p>
      <w:pPr>
        <w:pStyle w:val="NoSpacing"/>
        <w:ind w:start="144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Any necessary training will be at the sole discretion of Allina Health EMS.  Team members will be paid their regular hourly rate for hours worked, unless the training involves at least one overnight stay away from home, in which case Section 33.5.6 would apply.</w:t>
      </w:r>
    </w:p>
    <w:p>
      <w:pPr>
        <w:pStyle w:val="NoSpacing"/>
        <w:ind w:start="720"/>
        <w:jc w:val="both"/>
        <w:rPr>
          <w:rFonts w:ascii="Times New Roman" w:hAnsi="Times New Roman" w:cs="Times New Roman"/>
        </w:rPr>
      </w:pPr>
      <w:r>
        <w:rPr>
          <w:rFonts w:cs="Times New Roman" w:ascii="Times New Roman" w:hAnsi="Times New Roman"/>
        </w:rPr>
      </w:r>
    </w:p>
    <w:p>
      <w:pPr>
        <w:pStyle w:val="NoSpacing"/>
        <w:ind w:start="720"/>
        <w:jc w:val="both"/>
        <w:rPr>
          <w:rFonts w:ascii="Times New Roman" w:hAnsi="Times New Roman" w:cs="Times New Roman"/>
          <w:b/>
          <w:bCs/>
        </w:rPr>
      </w:pPr>
      <w:r>
        <w:rPr>
          <w:rFonts w:cs="Times New Roman" w:ascii="Times New Roman" w:hAnsi="Times New Roman"/>
          <w:b/>
          <w:bCs/>
        </w:rPr>
        <w:t>33.5.6</w:t>
        <w:tab/>
        <w:t xml:space="preserve">Compensation. </w:t>
      </w:r>
    </w:p>
    <w:p>
      <w:pPr>
        <w:pStyle w:val="NoSpacing"/>
        <w:ind w:start="144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While actively deployed, team members will be paid a minimum of twelve (12) hours per day at their regular hourly rate, including the day deployed and the day of return.  Employees will receive per diem as per company policy.</w:t>
      </w:r>
    </w:p>
    <w:p>
      <w:pPr>
        <w:pStyle w:val="NoSpacing"/>
        <w:ind w:start="144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t xml:space="preserve">Deployments are not considered shifts.  Therefore, regular staffing rules will not apply, and any hours worked during deployment will not count toward any bonus program that may be in effect. </w:t>
      </w:r>
    </w:p>
    <w:p>
      <w:pPr>
        <w:pStyle w:val="NoSpacing"/>
        <w:ind w:start="1440"/>
        <w:jc w:val="both"/>
        <w:rPr>
          <w:rFonts w:ascii="Times New Roman" w:hAnsi="Times New Roman" w:cs="Times New Roman"/>
        </w:rPr>
      </w:pPr>
      <w:r>
        <w:rPr>
          <w:rFonts w:cs="Times New Roman" w:ascii="Times New Roman" w:hAnsi="Times New Roman"/>
        </w:rPr>
      </w:r>
    </w:p>
    <w:p>
      <w:pPr>
        <w:pStyle w:val="NoSpacing"/>
        <w:ind w:start="1440"/>
        <w:jc w:val="both"/>
        <w:rPr>
          <w:rFonts w:ascii="Times New Roman" w:hAnsi="Times New Roman" w:cs="Times New Roman"/>
        </w:rPr>
      </w:pPr>
      <w:r>
        <w:rPr>
          <w:rFonts w:cs="Times New Roman" w:ascii="Times New Roman" w:hAnsi="Times New Roman"/>
        </w:rPr>
      </w:r>
    </w:p>
    <w:p>
      <w:pPr>
        <w:pStyle w:val="Normal"/>
        <w:jc w:val="both"/>
        <w:rPr/>
      </w:pPr>
      <w:r>
        <w:rPr/>
        <w:t xml:space="preserve">AGREED TO:   </w:t>
      </w:r>
    </w:p>
    <w:p>
      <w:pPr>
        <w:pStyle w:val="Normal"/>
        <w:rPr/>
      </w:pPr>
      <w:r>
        <w:rPr/>
      </w:r>
    </w:p>
    <w:tbl>
      <w:tblPr>
        <w:tblW w:w="9450" w:type="dxa"/>
        <w:jc w:val="start"/>
        <w:tblInd w:w="0" w:type="dxa"/>
        <w:tblLayout w:type="fixed"/>
        <w:tblCellMar>
          <w:top w:w="0" w:type="dxa"/>
          <w:start w:w="108" w:type="dxa"/>
          <w:bottom w:w="0" w:type="dxa"/>
          <w:end w:w="108" w:type="dxa"/>
        </w:tblCellMar>
        <w:tblLook w:val="01e0" w:noVBand="0" w:noHBand="0" w:lastColumn="1" w:firstColumn="1" w:lastRow="1" w:firstRow="1"/>
      </w:tblPr>
      <w:tblGrid>
        <w:gridCol w:w="4658"/>
        <w:gridCol w:w="566"/>
        <w:gridCol w:w="4226"/>
      </w:tblGrid>
      <w:tr>
        <w:trPr>
          <w:trHeight w:val="4588" w:hRule="atLeast"/>
        </w:trPr>
        <w:tc>
          <w:tcPr>
            <w:tcW w:w="4658" w:type="dxa"/>
            <w:tcBorders/>
          </w:tcPr>
          <w:p>
            <w:pPr>
              <w:pStyle w:val="Normal"/>
              <w:rPr>
                <w:b/>
                <w:bCs/>
              </w:rPr>
            </w:pPr>
            <w:r>
              <w:rPr>
                <w:b/>
                <w:bCs/>
              </w:rPr>
              <w:t>ALLINA HEALTH EMS</w:t>
            </w:r>
          </w:p>
          <w:p>
            <w:pPr>
              <w:pStyle w:val="Normal"/>
              <w:rPr/>
            </w:pPr>
            <w:r>
              <w:rPr/>
            </w:r>
          </w:p>
          <w:p>
            <w:pPr>
              <w:pStyle w:val="NormalWeb"/>
              <w:spacing w:before="280" w:after="280"/>
              <w:rPr/>
            </w:pPr>
            <w:r>
              <w:drawing>
                <wp:anchor distT="0" distB="0" distL="0" distR="0" simplePos="0" relativeHeight="2" behindDoc="0" locked="0" layoutInCell="1" allowOverlap="1">
                  <wp:simplePos x="0" y="0"/>
                  <wp:positionH relativeFrom="column">
                    <wp:posOffset>316865</wp:posOffset>
                  </wp:positionH>
                  <wp:positionV relativeFrom="paragraph">
                    <wp:posOffset>320675</wp:posOffset>
                  </wp:positionV>
                  <wp:extent cx="1490345" cy="567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490345" cy="567690"/>
                          </a:xfrm>
                          <a:prstGeom prst="rect">
                            <a:avLst/>
                          </a:prstGeom>
                          <a:noFill/>
                        </pic:spPr>
                      </pic:pic>
                    </a:graphicData>
                  </a:graphic>
                </wp:anchor>
              </w:drawing>
            </w:r>
            <w:r>
              <w:rPr/>
              <w:t xml:space="preserve">  </w:t>
            </w:r>
          </w:p>
          <w:p>
            <w:pPr>
              <w:pStyle w:val="Normal"/>
              <w:rPr/>
            </w:pPr>
            <w:r>
              <w:rPr/>
            </w:r>
          </w:p>
          <w:p>
            <w:pPr>
              <w:pStyle w:val="Normal"/>
              <w:rPr/>
            </w:pPr>
            <w:r>
              <w:rPr/>
              <w:t>By ________________________________</w:t>
            </w:r>
          </w:p>
          <w:p>
            <w:pPr>
              <w:pStyle w:val="Normal"/>
              <w:rPr/>
            </w:pPr>
            <w:r>
              <w:rPr/>
              <w:t xml:space="preserve"> </w:t>
            </w:r>
          </w:p>
          <w:p>
            <w:pPr>
              <w:pStyle w:val="Normal"/>
              <w:rPr/>
            </w:pPr>
            <w:r>
              <w:rPr/>
              <w:t>Its  Director of Operation</w:t>
            </w:r>
          </w:p>
          <w:p>
            <w:pPr>
              <w:pStyle w:val="Normal"/>
              <w:rPr/>
            </w:pPr>
            <w:r>
              <w:rPr/>
              <w:t xml:space="preserve"> </w:t>
            </w:r>
          </w:p>
          <w:p>
            <w:pPr>
              <w:pStyle w:val="Normal"/>
              <w:rPr/>
            </w:pPr>
            <w:r>
              <w:rPr/>
              <w:t>Dated  4/1/2026</w:t>
            </w:r>
          </w:p>
          <w:p>
            <w:pPr>
              <w:pStyle w:val="Normal"/>
              <w:widowControl/>
              <w:bidi w:val="0"/>
              <w:spacing w:lineRule="auto" w:line="278" w:before="0" w:after="160"/>
              <w:jc w:val="start"/>
              <w:rPr/>
            </w:pPr>
            <w:r>
              <w:rPr/>
            </w:r>
          </w:p>
        </w:tc>
        <w:tc>
          <w:tcPr>
            <w:tcW w:w="566" w:type="dxa"/>
            <w:tcBorders/>
          </w:tcPr>
          <w:p>
            <w:pPr>
              <w:pStyle w:val="Normal"/>
              <w:widowControl/>
              <w:bidi w:val="0"/>
              <w:spacing w:lineRule="auto" w:line="278" w:before="0" w:after="160"/>
              <w:jc w:val="start"/>
              <w:rPr/>
            </w:pPr>
            <w:r>
              <w:rPr/>
              <w:t xml:space="preserve"> </w:t>
            </w:r>
          </w:p>
        </w:tc>
        <w:tc>
          <w:tcPr>
            <w:tcW w:w="4226" w:type="dxa"/>
            <w:tcBorders/>
          </w:tcPr>
          <w:p>
            <w:pPr>
              <w:pStyle w:val="Normal"/>
              <w:rPr>
                <w:b/>
                <w:bCs/>
              </w:rPr>
            </w:pPr>
            <w:r>
              <w:rPr>
                <w:b/>
                <w:bCs/>
              </w:rPr>
              <w:t>IAEP LOCAL 167</w:t>
            </w:r>
          </w:p>
          <w:p>
            <w:pPr>
              <w:pStyle w:val="Normal"/>
              <w:rPr/>
            </w:pPr>
            <w:r>
              <w:rPr>
                <w:b/>
                <w:bCs/>
              </w:rPr>
              <w:t xml:space="preserve"> </w:t>
            </w:r>
            <w:r>
              <w:rPr/>
              <w:t xml:space="preserve"> </w:t>
            </w:r>
          </w:p>
          <w:p>
            <w:pPr>
              <w:pStyle w:val="Normal"/>
              <w:rPr/>
            </w:pPr>
            <w:r>
              <w:rPr/>
            </w:r>
          </w:p>
          <w:p>
            <w:pPr>
              <w:pStyle w:val="Normal"/>
              <w:rPr/>
            </w:pPr>
            <w:r>
              <w:rPr/>
              <w:t xml:space="preserve">By </w:t>
            </w:r>
            <w:r>
              <w:drawing>
                <wp:anchor distT="0" distB="0" distL="0" distR="0" simplePos="0" relativeHeight="3" behindDoc="0" locked="0" layoutInCell="0" allowOverlap="1">
                  <wp:simplePos x="0" y="0"/>
                  <wp:positionH relativeFrom="column">
                    <wp:posOffset>1009015</wp:posOffset>
                  </wp:positionH>
                  <wp:positionV relativeFrom="paragraph">
                    <wp:posOffset>45085</wp:posOffset>
                  </wp:positionV>
                  <wp:extent cx="960755" cy="29400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
                          <a:srcRect l="-34" t="-91" r="-34" b="-91"/>
                          <a:stretch>
                            <a:fillRect/>
                          </a:stretch>
                        </pic:blipFill>
                        <pic:spPr bwMode="auto">
                          <a:xfrm>
                            <a:off x="0" y="0"/>
                            <a:ext cx="960755" cy="294005"/>
                          </a:xfrm>
                          <a:prstGeom prst="rect">
                            <a:avLst/>
                          </a:prstGeom>
                          <a:solidFill>
                            <a:srgbClr val="FFFFFF"/>
                          </a:solidFill>
                        </pic:spPr>
                      </pic:pic>
                    </a:graphicData>
                  </a:graphic>
                </wp:anchor>
              </w:drawing>
            </w:r>
            <w:r>
              <w:rPr/>
              <w:t>________________________________</w:t>
            </w:r>
          </w:p>
          <w:p>
            <w:pPr>
              <w:pStyle w:val="Normal"/>
              <w:rPr/>
            </w:pPr>
            <w:r>
              <w:rPr/>
              <w:t xml:space="preserve"> </w:t>
            </w:r>
          </w:p>
          <w:p>
            <w:pPr>
              <w:pStyle w:val="Normal"/>
              <w:rPr/>
            </w:pPr>
            <w:r>
              <w:rPr/>
              <w:t>Its _</w:t>
            </w:r>
            <w:r>
              <w:rPr/>
              <w:t>President IAEP R7-167</w:t>
            </w:r>
          </w:p>
          <w:p>
            <w:pPr>
              <w:pStyle w:val="Normal"/>
              <w:rPr/>
            </w:pPr>
            <w:r>
              <w:rPr/>
            </w:r>
          </w:p>
          <w:p>
            <w:pPr>
              <w:pStyle w:val="Normal"/>
              <w:widowControl/>
              <w:bidi w:val="0"/>
              <w:spacing w:lineRule="auto" w:line="278" w:before="0" w:after="160"/>
              <w:jc w:val="start"/>
              <w:rPr/>
            </w:pPr>
            <w:r>
              <w:rPr/>
              <w:t xml:space="preserve">Dated  </w:t>
            </w:r>
            <w:r>
              <w:rPr/>
              <w:t>04/04/2026</w:t>
            </w:r>
          </w:p>
        </w:tc>
      </w:tr>
    </w:tbl>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sectPr>
      <w:footerReference w:type="even" r:id="rId4"/>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b/>
        <w:bCs/>
      </w:rPr>
      <w:fldChar w:fldCharType="begin"/>
    </w:r>
    <w:r>
      <w:rPr>
        <w:rFonts w:cs="Times New Roman" w:ascii="Times New Roman" w:hAnsi="Times New Roman"/>
        <w:b/>
        <w:bCs/>
      </w:rPr>
      <w:instrText xml:space="preserve"> PAGE \* ARABIC </w:instrText>
    </w:r>
    <w:r>
      <w:rPr>
        <w:rFonts w:cs="Times New Roman" w:ascii="Times New Roman" w:hAnsi="Times New Roman"/>
        <w:b/>
        <w:bCs/>
      </w:rPr>
      <w:fldChar w:fldCharType="separate"/>
    </w:r>
    <w:r>
      <w:rPr>
        <w:rFonts w:cs="Times New Roman" w:ascii="Times New Roman" w:hAnsi="Times New Roman"/>
        <w:b/>
        <w:bCs/>
      </w:rPr>
      <w:t>3</w:t>
    </w:r>
    <w:r>
      <w:rPr>
        <w:rFonts w:cs="Times New Roman" w:ascii="Times New Roman" w:hAnsi="Times New Roman"/>
        <w:b/>
        <w:bCs/>
      </w:rPr>
      <w:fldChar w:fldCharType="end"/>
    </w:r>
    <w:r>
      <w:rPr>
        <w:rFonts w:cs="Times New Roman" w:ascii="Times New Roman" w:hAnsi="Times New Roman"/>
      </w:rPr>
      <w:t xml:space="preserve"> of </w:t>
    </w:r>
    <w:r>
      <w:rPr>
        <w:rFonts w:cs="Times New Roman" w:ascii="Times New Roman" w:hAnsi="Times New Roman"/>
        <w:b/>
        <w:bCs/>
      </w:rPr>
      <w:fldChar w:fldCharType="begin"/>
    </w:r>
    <w:r>
      <w:rPr>
        <w:rFonts w:cs="Times New Roman" w:ascii="Times New Roman" w:hAnsi="Times New Roman"/>
        <w:b/>
        <w:bCs/>
      </w:rPr>
      <w:instrText xml:space="preserve"> NUMPAGES \* ARABIC </w:instrText>
    </w:r>
    <w:r>
      <w:rPr>
        <w:rFonts w:cs="Times New Roman" w:ascii="Times New Roman" w:hAnsi="Times New Roman"/>
        <w:b/>
        <w:bCs/>
      </w:rPr>
      <w:fldChar w:fldCharType="separate"/>
    </w:r>
    <w:r>
      <w:rPr>
        <w:rFonts w:cs="Times New Roman" w:ascii="Times New Roman" w:hAnsi="Times New Roman"/>
        <w:b/>
        <w:bCs/>
      </w:rPr>
      <w:t>3</w:t>
    </w:r>
    <w:r>
      <w:rPr>
        <w:rFonts w:cs="Times New Roman" w:ascii="Times New Roman" w:hAnsi="Times New Roman"/>
        <w:b/>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b/>
        <w:bCs/>
      </w:rPr>
      <w:fldChar w:fldCharType="begin"/>
    </w:r>
    <w:r>
      <w:rPr>
        <w:rFonts w:cs="Times New Roman" w:ascii="Times New Roman" w:hAnsi="Times New Roman"/>
        <w:b/>
        <w:bCs/>
      </w:rPr>
      <w:instrText xml:space="preserve"> PAGE \* ARABIC </w:instrText>
    </w:r>
    <w:r>
      <w:rPr>
        <w:rFonts w:cs="Times New Roman" w:ascii="Times New Roman" w:hAnsi="Times New Roman"/>
        <w:b/>
        <w:bCs/>
      </w:rPr>
      <w:fldChar w:fldCharType="separate"/>
    </w:r>
    <w:r>
      <w:rPr>
        <w:rFonts w:cs="Times New Roman" w:ascii="Times New Roman" w:hAnsi="Times New Roman"/>
        <w:b/>
        <w:bCs/>
      </w:rPr>
      <w:t>3</w:t>
    </w:r>
    <w:r>
      <w:rPr>
        <w:rFonts w:cs="Times New Roman" w:ascii="Times New Roman" w:hAnsi="Times New Roman"/>
        <w:b/>
        <w:bCs/>
      </w:rPr>
      <w:fldChar w:fldCharType="end"/>
    </w:r>
    <w:r>
      <w:rPr>
        <w:rFonts w:cs="Times New Roman" w:ascii="Times New Roman" w:hAnsi="Times New Roman"/>
      </w:rPr>
      <w:t xml:space="preserve"> of </w:t>
    </w:r>
    <w:r>
      <w:rPr>
        <w:rFonts w:cs="Times New Roman" w:ascii="Times New Roman" w:hAnsi="Times New Roman"/>
        <w:b/>
        <w:bCs/>
      </w:rPr>
      <w:fldChar w:fldCharType="begin"/>
    </w:r>
    <w:r>
      <w:rPr>
        <w:rFonts w:cs="Times New Roman" w:ascii="Times New Roman" w:hAnsi="Times New Roman"/>
        <w:b/>
        <w:bCs/>
      </w:rPr>
      <w:instrText xml:space="preserve"> NUMPAGES \* ARABIC </w:instrText>
    </w:r>
    <w:r>
      <w:rPr>
        <w:rFonts w:cs="Times New Roman" w:ascii="Times New Roman" w:hAnsi="Times New Roman"/>
        <w:b/>
        <w:bCs/>
      </w:rPr>
      <w:fldChar w:fldCharType="separate"/>
    </w:r>
    <w:r>
      <w:rPr>
        <w:rFonts w:cs="Times New Roman" w:ascii="Times New Roman" w:hAnsi="Times New Roman"/>
        <w:b/>
        <w:bCs/>
      </w:rPr>
      <w:t>3</w:t>
    </w:r>
    <w:r>
      <w:rPr>
        <w:rFonts w:cs="Times New Roman" w:ascii="Times New Roman" w:hAnsi="Times New Roman"/>
        <w:b/>
        <w:b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a8060b"/>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a8060b"/>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a8060b"/>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a8060b"/>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a8060b"/>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a8060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a8060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a8060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a8060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8060b"/>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8060b"/>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8060b"/>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8060b"/>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8060b"/>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8060b"/>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8060b"/>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8060b"/>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8060b"/>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8060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8060b"/>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a8060b"/>
    <w:rPr>
      <w:i/>
      <w:iCs/>
      <w:color w:themeColor="text1" w:themeTint="bf" w:val="404040"/>
    </w:rPr>
  </w:style>
  <w:style w:type="character" w:styleId="IntenseEmphasis">
    <w:name w:val="Intense Emphasis"/>
    <w:basedOn w:val="DefaultParagraphFont"/>
    <w:uiPriority w:val="21"/>
    <w:qFormat/>
    <w:rsid w:val="00a8060b"/>
    <w:rPr>
      <w:i/>
      <w:iCs/>
      <w:color w:themeColor="accent1" w:themeShade="bf" w:val="0F4761"/>
    </w:rPr>
  </w:style>
  <w:style w:type="character" w:styleId="IntenseQuoteChar" w:customStyle="1">
    <w:name w:val="Intense Quote Char"/>
    <w:basedOn w:val="DefaultParagraphFont"/>
    <w:link w:val="IntenseQuote"/>
    <w:uiPriority w:val="30"/>
    <w:qFormat/>
    <w:rsid w:val="00a8060b"/>
    <w:rPr>
      <w:i/>
      <w:iCs/>
      <w:color w:themeColor="accent1" w:themeShade="bf" w:val="0F4761"/>
    </w:rPr>
  </w:style>
  <w:style w:type="character" w:styleId="IntenseReference">
    <w:name w:val="Intense Reference"/>
    <w:basedOn w:val="DefaultParagraphFont"/>
    <w:uiPriority w:val="32"/>
    <w:qFormat/>
    <w:rsid w:val="00a8060b"/>
    <w:rPr>
      <w:b/>
      <w:bCs/>
      <w:smallCaps/>
      <w:color w:themeColor="accent1" w:themeShade="bf" w:val="0F4761"/>
      <w:spacing w:val="5"/>
    </w:rPr>
  </w:style>
  <w:style w:type="character" w:styleId="HeaderChar" w:customStyle="1">
    <w:name w:val="Header Char"/>
    <w:basedOn w:val="DefaultParagraphFont"/>
    <w:link w:val="Header"/>
    <w:uiPriority w:val="99"/>
    <w:qFormat/>
    <w:rsid w:val="007a7484"/>
    <w:rPr/>
  </w:style>
  <w:style w:type="character" w:styleId="FooterChar" w:customStyle="1">
    <w:name w:val="Footer Char"/>
    <w:basedOn w:val="DefaultParagraphFont"/>
    <w:link w:val="Footer"/>
    <w:uiPriority w:val="99"/>
    <w:qFormat/>
    <w:rsid w:val="007a7484"/>
    <w:rPr/>
  </w:style>
  <w:style w:type="character" w:styleId="CommentReference">
    <w:name w:val="annotation reference"/>
    <w:basedOn w:val="DefaultParagraphFont"/>
    <w:uiPriority w:val="99"/>
    <w:semiHidden/>
    <w:unhideWhenUsed/>
    <w:qFormat/>
    <w:rsid w:val="00930732"/>
    <w:rPr>
      <w:sz w:val="16"/>
      <w:szCs w:val="16"/>
    </w:rPr>
  </w:style>
  <w:style w:type="character" w:styleId="CommentTextChar" w:customStyle="1">
    <w:name w:val="Comment Text Char"/>
    <w:basedOn w:val="DefaultParagraphFont"/>
    <w:link w:val="CommentText"/>
    <w:uiPriority w:val="99"/>
    <w:qFormat/>
    <w:rsid w:val="00930732"/>
    <w:rPr>
      <w:sz w:val="20"/>
      <w:szCs w:val="20"/>
    </w:rPr>
  </w:style>
  <w:style w:type="character" w:styleId="CommentSubjectChar" w:customStyle="1">
    <w:name w:val="Comment Subject Char"/>
    <w:basedOn w:val="CommentTextChar"/>
    <w:link w:val="annotationsubject"/>
    <w:uiPriority w:val="99"/>
    <w:semiHidden/>
    <w:qFormat/>
    <w:rsid w:val="00930732"/>
    <w:rPr>
      <w:b/>
      <w:bCs/>
      <w:sz w:val="20"/>
      <w:szCs w:val="20"/>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a8060b"/>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8060b"/>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a8060b"/>
    <w:pPr>
      <w:spacing w:before="160" w:after="160"/>
      <w:jc w:val="center"/>
    </w:pPr>
    <w:rPr>
      <w:i/>
      <w:iCs/>
      <w:color w:themeColor="text1" w:themeTint="bf" w:val="404040"/>
    </w:rPr>
  </w:style>
  <w:style w:type="paragraph" w:styleId="ListParagraph">
    <w:name w:val="List Paragraph"/>
    <w:basedOn w:val="Normal"/>
    <w:uiPriority w:val="34"/>
    <w:qFormat/>
    <w:rsid w:val="00a8060b"/>
    <w:pPr>
      <w:spacing w:before="0" w:after="160"/>
      <w:ind w:start="720"/>
      <w:contextualSpacing/>
    </w:pPr>
    <w:rPr/>
  </w:style>
  <w:style w:type="paragraph" w:styleId="IntenseQuote">
    <w:name w:val="Intense Quote"/>
    <w:basedOn w:val="Normal"/>
    <w:next w:val="Normal"/>
    <w:link w:val="IntenseQuoteChar"/>
    <w:uiPriority w:val="30"/>
    <w:qFormat/>
    <w:rsid w:val="00a8060b"/>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Spacing">
    <w:name w:val="No Spacing"/>
    <w:uiPriority w:val="1"/>
    <w:qFormat/>
    <w:rsid w:val="00a8060b"/>
    <w:pPr>
      <w:widowControl/>
      <w:bidi w:val="0"/>
      <w:spacing w:lineRule="auto" w:line="240" w:before="0" w:after="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Revision">
    <w:name w:val="Revision"/>
    <w:uiPriority w:val="99"/>
    <w:semiHidden/>
    <w:qFormat/>
    <w:rsid w:val="00700e87"/>
    <w:pPr>
      <w:widowControl/>
      <w:bidi w:val="0"/>
      <w:spacing w:lineRule="auto" w:line="240" w:before="0" w:after="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erandFooter">
    <w:name w:val="Header and Footer"/>
    <w:basedOn w:val="Normal"/>
    <w:qFormat/>
    <w:pPr/>
    <w:rPr/>
  </w:style>
  <w:style w:type="paragraph" w:styleId="Header">
    <w:name w:val="header"/>
    <w:basedOn w:val="Normal"/>
    <w:link w:val="HeaderChar"/>
    <w:uiPriority w:val="99"/>
    <w:unhideWhenUsed/>
    <w:rsid w:val="007a748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a7484"/>
    <w:pPr>
      <w:tabs>
        <w:tab w:val="clear" w:pos="720"/>
        <w:tab w:val="center" w:pos="4680" w:leader="none"/>
        <w:tab w:val="right" w:pos="9360" w:leader="none"/>
      </w:tabs>
      <w:spacing w:lineRule="auto" w:line="240" w:before="0" w:after="0"/>
    </w:pPr>
    <w:rPr/>
  </w:style>
  <w:style w:type="paragraph" w:styleId="CommentText">
    <w:name w:val="annotation text"/>
    <w:basedOn w:val="Normal"/>
    <w:link w:val="CommentTextChar"/>
    <w:uiPriority w:val="99"/>
    <w:unhideWhenUsed/>
    <w:rsid w:val="00930732"/>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930732"/>
    <w:pPr/>
    <w:rPr>
      <w:b/>
      <w:bCs/>
    </w:rPr>
  </w:style>
  <w:style w:type="paragraph" w:styleId="NormalWeb">
    <w:name w:val="Normal (Web)"/>
    <w:basedOn w:val="Normal"/>
    <w:uiPriority w:val="99"/>
    <w:semiHidden/>
    <w:unhideWhenUsed/>
    <w:qFormat/>
    <w:rsid w:val="00cf23cd"/>
    <w:pPr>
      <w:spacing w:lineRule="auto" w:line="240" w:beforeAutospacing="1" w:afterAutospacing="1"/>
    </w:pPr>
    <w:rPr>
      <w:rFonts w:ascii="Times New Roman" w:hAnsi="Times New Roman" w:eastAsia="Times New Roman" w:cs="Times New Roman"/>
      <w:kern w:val="0"/>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E9948-39E6-43B0-9244-5D9B649E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LibreOffice/26.2.1.2$MacOSX_AARCH64 LibreOffice_project/8399f6259d8c87f40e7255cdb3c9b958f5e08948</Application>
  <AppVersion>15.0000</AppVersion>
  <Pages>3</Pages>
  <Words>426</Words>
  <Characters>2393</Characters>
  <CharactersWithSpaces>2821</CharactersWithSpaces>
  <Paragraphs>44</Paragraphs>
  <Company>Allina Health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2026-04-02T19:21:00Z</dcterms:created>
  <dc:creator>Baker, Brent E</dc:creator>
  <dc:description/>
  <dc:language>en-US</dc:language>
  <cp:lastModifiedBy>Brett Hopper</cp:lastModifiedBy>
  <cp:lastPrinted>2026-03-09T18:49:00Z</cp:lastPrinted>
  <dcterms:modified xsi:type="dcterms:W3CDTF">2026-04-02T15:43:21Z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0c469e5f-e661-4dac-9a84-b411fd8b9586</vt:lpwstr>
  </property>
</Properties>
</file>